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0B5" w:rsidRPr="003069A9" w:rsidRDefault="009F70B5">
      <w:pPr>
        <w:spacing w:after="0" w:line="259" w:lineRule="auto"/>
        <w:ind w:left="0" w:firstLine="0"/>
        <w:jc w:val="left"/>
        <w:rPr>
          <w:color w:val="auto"/>
        </w:rPr>
      </w:pPr>
    </w:p>
    <w:p w:rsidR="009F70B5" w:rsidRPr="003069A9" w:rsidRDefault="0000626D">
      <w:pPr>
        <w:pBdr>
          <w:top w:val="single" w:sz="4" w:space="0" w:color="000000"/>
          <w:left w:val="single" w:sz="4" w:space="0" w:color="000000"/>
          <w:bottom w:val="single" w:sz="4" w:space="0" w:color="000000"/>
          <w:right w:val="single" w:sz="4" w:space="0" w:color="000000"/>
        </w:pBdr>
        <w:spacing w:after="0" w:line="259" w:lineRule="auto"/>
        <w:ind w:left="0" w:firstLine="0"/>
        <w:jc w:val="center"/>
        <w:rPr>
          <w:color w:val="auto"/>
        </w:rPr>
      </w:pPr>
      <w:r w:rsidRPr="003069A9">
        <w:rPr>
          <w:b/>
          <w:i w:val="0"/>
          <w:color w:val="auto"/>
        </w:rPr>
        <w:t xml:space="preserve"> </w:t>
      </w:r>
    </w:p>
    <w:p w:rsidR="009F70B5" w:rsidRPr="003069A9" w:rsidRDefault="0000626D">
      <w:pPr>
        <w:pBdr>
          <w:top w:val="single" w:sz="4" w:space="0" w:color="000000"/>
          <w:left w:val="single" w:sz="4" w:space="0" w:color="000000"/>
          <w:bottom w:val="single" w:sz="4" w:space="0" w:color="000000"/>
          <w:right w:val="single" w:sz="4" w:space="0" w:color="000000"/>
        </w:pBdr>
        <w:spacing w:after="0" w:line="259" w:lineRule="auto"/>
        <w:ind w:left="0" w:firstLine="0"/>
        <w:jc w:val="center"/>
        <w:rPr>
          <w:color w:val="auto"/>
        </w:rPr>
      </w:pPr>
      <w:r w:rsidRPr="003069A9">
        <w:rPr>
          <w:b/>
          <w:i w:val="0"/>
          <w:color w:val="auto"/>
        </w:rPr>
        <w:t xml:space="preserve"> </w:t>
      </w:r>
    </w:p>
    <w:p w:rsidR="009F70B5" w:rsidRPr="003069A9" w:rsidRDefault="00241397">
      <w:pPr>
        <w:pBdr>
          <w:top w:val="single" w:sz="4" w:space="0" w:color="000000"/>
          <w:left w:val="single" w:sz="4" w:space="0" w:color="000000"/>
          <w:bottom w:val="single" w:sz="4" w:space="0" w:color="000000"/>
          <w:right w:val="single" w:sz="4" w:space="0" w:color="000000"/>
        </w:pBdr>
        <w:spacing w:after="0" w:line="259" w:lineRule="auto"/>
        <w:ind w:left="0" w:firstLine="0"/>
        <w:jc w:val="center"/>
        <w:rPr>
          <w:color w:val="auto"/>
        </w:rPr>
      </w:pPr>
      <w:r w:rsidRPr="003069A9">
        <w:rPr>
          <w:b/>
          <w:i w:val="0"/>
          <w:color w:val="auto"/>
        </w:rPr>
        <w:t>142</w:t>
      </w:r>
      <w:r w:rsidR="0000626D" w:rsidRPr="003069A9">
        <w:rPr>
          <w:b/>
          <w:i w:val="0"/>
          <w:color w:val="auto"/>
        </w:rPr>
        <w:t xml:space="preserve">º CURSO SOBRE LA UNIÓN EUROPEA </w:t>
      </w:r>
    </w:p>
    <w:p w:rsidR="009F70B5" w:rsidRPr="003069A9" w:rsidRDefault="0000626D">
      <w:pPr>
        <w:pBdr>
          <w:top w:val="single" w:sz="4" w:space="0" w:color="000000"/>
          <w:left w:val="single" w:sz="4" w:space="0" w:color="000000"/>
          <w:bottom w:val="single" w:sz="4" w:space="0" w:color="000000"/>
          <w:right w:val="single" w:sz="4" w:space="0" w:color="000000"/>
        </w:pBdr>
        <w:spacing w:after="0" w:line="259" w:lineRule="auto"/>
        <w:ind w:left="0" w:firstLine="0"/>
        <w:jc w:val="left"/>
        <w:rPr>
          <w:color w:val="auto"/>
        </w:rPr>
      </w:pPr>
      <w:r w:rsidRPr="003069A9">
        <w:rPr>
          <w:b/>
          <w:i w:val="0"/>
          <w:color w:val="auto"/>
        </w:rPr>
        <w:t xml:space="preserve">  </w:t>
      </w:r>
    </w:p>
    <w:p w:rsidR="009F70B5" w:rsidRPr="003069A9" w:rsidRDefault="0000626D">
      <w:pPr>
        <w:pBdr>
          <w:top w:val="single" w:sz="4" w:space="0" w:color="000000"/>
          <w:left w:val="single" w:sz="4" w:space="0" w:color="000000"/>
          <w:bottom w:val="single" w:sz="4" w:space="0" w:color="000000"/>
          <w:right w:val="single" w:sz="4" w:space="0" w:color="000000"/>
        </w:pBdr>
        <w:spacing w:after="0" w:line="259" w:lineRule="auto"/>
        <w:ind w:left="0" w:firstLine="0"/>
        <w:jc w:val="left"/>
        <w:rPr>
          <w:color w:val="auto"/>
        </w:rPr>
      </w:pPr>
      <w:r w:rsidRPr="003069A9">
        <w:rPr>
          <w:b/>
          <w:i w:val="0"/>
          <w:color w:val="auto"/>
        </w:rPr>
        <w:t xml:space="preserve"> </w:t>
      </w:r>
    </w:p>
    <w:p w:rsidR="009F70B5" w:rsidRPr="003069A9" w:rsidRDefault="0000626D" w:rsidP="00051C0F">
      <w:pPr>
        <w:spacing w:after="117" w:line="259" w:lineRule="auto"/>
        <w:ind w:left="0" w:firstLine="0"/>
        <w:jc w:val="left"/>
        <w:rPr>
          <w:color w:val="auto"/>
        </w:rPr>
      </w:pPr>
      <w:r w:rsidRPr="003069A9">
        <w:rPr>
          <w:i w:val="0"/>
          <w:color w:val="auto"/>
        </w:rPr>
        <w:t xml:space="preserve"> </w:t>
      </w:r>
    </w:p>
    <w:p w:rsidR="009F70B5" w:rsidRPr="003069A9" w:rsidRDefault="0000626D" w:rsidP="003069A9">
      <w:pPr>
        <w:spacing w:after="0" w:line="276" w:lineRule="auto"/>
        <w:ind w:left="0" w:firstLine="0"/>
        <w:rPr>
          <w:color w:val="auto"/>
        </w:rPr>
      </w:pPr>
      <w:r w:rsidRPr="003069A9">
        <w:rPr>
          <w:i w:val="0"/>
          <w:color w:val="auto"/>
        </w:rPr>
        <w:t xml:space="preserve">  </w:t>
      </w:r>
    </w:p>
    <w:p w:rsidR="009F70B5" w:rsidRPr="003069A9" w:rsidRDefault="0000626D" w:rsidP="003069A9">
      <w:pPr>
        <w:pStyle w:val="Ttulo1"/>
        <w:spacing w:line="276" w:lineRule="auto"/>
        <w:ind w:left="182" w:hanging="197"/>
        <w:jc w:val="both"/>
        <w:rPr>
          <w:color w:val="auto"/>
        </w:rPr>
      </w:pPr>
      <w:r w:rsidRPr="003069A9">
        <w:rPr>
          <w:color w:val="auto"/>
        </w:rPr>
        <w:t>EVOLUCIÓN HISTÓRICA DE LA INTEGRACIÓN EUROPEA</w:t>
      </w:r>
      <w:r w:rsidRPr="003069A9">
        <w:rPr>
          <w:color w:val="auto"/>
          <w:u w:val="none"/>
        </w:rPr>
        <w:t xml:space="preserve"> </w:t>
      </w:r>
    </w:p>
    <w:p w:rsidR="009F70B5" w:rsidRPr="003069A9" w:rsidRDefault="0000626D" w:rsidP="003069A9">
      <w:pPr>
        <w:spacing w:after="114" w:line="276" w:lineRule="auto"/>
        <w:ind w:left="0" w:firstLine="0"/>
        <w:rPr>
          <w:color w:val="auto"/>
        </w:rPr>
      </w:pPr>
      <w:r w:rsidRPr="003069A9">
        <w:rPr>
          <w:b/>
          <w:i w:val="0"/>
          <w:color w:val="auto"/>
        </w:rPr>
        <w:t xml:space="preserve"> </w:t>
      </w:r>
    </w:p>
    <w:p w:rsidR="009F70B5" w:rsidRPr="003069A9" w:rsidRDefault="0000626D" w:rsidP="003069A9">
      <w:pPr>
        <w:numPr>
          <w:ilvl w:val="0"/>
          <w:numId w:val="1"/>
        </w:numPr>
        <w:spacing w:after="129" w:line="276" w:lineRule="auto"/>
        <w:ind w:hanging="360"/>
        <w:rPr>
          <w:color w:val="auto"/>
        </w:rPr>
      </w:pPr>
      <w:r w:rsidRPr="003069A9">
        <w:rPr>
          <w:color w:val="auto"/>
        </w:rPr>
        <w:t xml:space="preserve">Antecedentes de la integración europea en el pensamiento político europeo. El paneuropeísmo en la primera mitad del siglo XX. Principales hitos de los años 50, con particular referencia al Tratado de la Comunidad Europea del Carbón y del Acero. Los Tratados de Roma. La integración europea desde 1958 a 1985: dinámicas de ampliación y de profundización. El Acta Única Europea.  </w:t>
      </w:r>
    </w:p>
    <w:p w:rsidR="009F70B5" w:rsidRPr="003069A9" w:rsidRDefault="0000626D" w:rsidP="003069A9">
      <w:pPr>
        <w:numPr>
          <w:ilvl w:val="0"/>
          <w:numId w:val="1"/>
        </w:numPr>
        <w:spacing w:line="276" w:lineRule="auto"/>
        <w:ind w:hanging="360"/>
        <w:rPr>
          <w:color w:val="auto"/>
        </w:rPr>
      </w:pPr>
      <w:r w:rsidRPr="003069A9">
        <w:rPr>
          <w:color w:val="auto"/>
        </w:rPr>
        <w:t xml:space="preserve">El Tratado de Maastricht. Nuevas dinámicas de ampliación y profundización: posteriores ampliaciones; los Tratados de Ámsterdam y de Niza. El Tratado constitucional y el Tratado de Lisboa. De la crisis económica y financiera a la actualidad.  </w:t>
      </w:r>
    </w:p>
    <w:p w:rsidR="009F70B5" w:rsidRPr="003069A9" w:rsidRDefault="0000626D" w:rsidP="003069A9">
      <w:pPr>
        <w:spacing w:after="101" w:line="276" w:lineRule="auto"/>
        <w:ind w:left="720" w:firstLine="0"/>
        <w:rPr>
          <w:color w:val="auto"/>
        </w:rPr>
      </w:pPr>
      <w:r w:rsidRPr="003069A9">
        <w:rPr>
          <w:color w:val="auto"/>
        </w:rPr>
        <w:t xml:space="preserve"> </w:t>
      </w:r>
    </w:p>
    <w:p w:rsidR="009F70B5" w:rsidRPr="003069A9" w:rsidRDefault="0000626D" w:rsidP="003069A9">
      <w:pPr>
        <w:pStyle w:val="Ttulo1"/>
        <w:spacing w:line="276" w:lineRule="auto"/>
        <w:ind w:left="268" w:hanging="283"/>
        <w:jc w:val="both"/>
        <w:rPr>
          <w:color w:val="auto"/>
        </w:rPr>
      </w:pPr>
      <w:r w:rsidRPr="003069A9">
        <w:rPr>
          <w:color w:val="auto"/>
        </w:rPr>
        <w:t>SISTEMA POLÍTICO-JURÍDICO DE LA UNIÓN EUROPEA</w:t>
      </w:r>
      <w:r w:rsidRPr="003069A9">
        <w:rPr>
          <w:color w:val="auto"/>
          <w:u w:val="none"/>
        </w:rPr>
        <w:t xml:space="preserve"> </w:t>
      </w:r>
    </w:p>
    <w:p w:rsidR="009F70B5" w:rsidRPr="003069A9" w:rsidRDefault="0000626D" w:rsidP="003069A9">
      <w:pPr>
        <w:spacing w:after="101" w:line="276" w:lineRule="auto"/>
        <w:ind w:left="0" w:firstLine="0"/>
        <w:rPr>
          <w:color w:val="auto"/>
        </w:rPr>
      </w:pPr>
      <w:r w:rsidRPr="003069A9">
        <w:rPr>
          <w:i w:val="0"/>
          <w:color w:val="auto"/>
        </w:rPr>
        <w:t xml:space="preserve"> </w:t>
      </w:r>
    </w:p>
    <w:p w:rsidR="009F70B5" w:rsidRPr="003069A9" w:rsidRDefault="0000626D" w:rsidP="003069A9">
      <w:pPr>
        <w:pStyle w:val="Ttulo2"/>
        <w:spacing w:line="276" w:lineRule="auto"/>
        <w:ind w:left="379" w:hanging="394"/>
        <w:jc w:val="both"/>
        <w:rPr>
          <w:color w:val="auto"/>
        </w:rPr>
      </w:pPr>
      <w:r w:rsidRPr="003069A9">
        <w:rPr>
          <w:color w:val="auto"/>
        </w:rPr>
        <w:t>Cuestiones generales</w:t>
      </w:r>
      <w:r w:rsidRPr="003069A9">
        <w:rPr>
          <w:color w:val="auto"/>
          <w:u w:val="none"/>
        </w:rPr>
        <w:t xml:space="preserve"> </w:t>
      </w:r>
    </w:p>
    <w:p w:rsidR="009F70B5" w:rsidRPr="003069A9" w:rsidRDefault="00E74195" w:rsidP="003069A9">
      <w:pPr>
        <w:numPr>
          <w:ilvl w:val="0"/>
          <w:numId w:val="2"/>
        </w:numPr>
        <w:spacing w:line="276" w:lineRule="auto"/>
        <w:ind w:hanging="360"/>
        <w:rPr>
          <w:color w:val="auto"/>
        </w:rPr>
      </w:pPr>
      <w:r w:rsidRPr="003069A9">
        <w:rPr>
          <w:color w:val="auto"/>
        </w:rPr>
        <w:t xml:space="preserve">El Estatuto de Estado miembro tras el Tratado de Lisboa. </w:t>
      </w:r>
      <w:r w:rsidR="0000626D" w:rsidRPr="003069A9">
        <w:rPr>
          <w:color w:val="auto"/>
        </w:rPr>
        <w:t xml:space="preserve">La adhesión a la Unión. La retirada de la Unión. Modos de integración diferenciada.  </w:t>
      </w:r>
    </w:p>
    <w:p w:rsidR="009F70B5" w:rsidRPr="003069A9" w:rsidRDefault="0000626D" w:rsidP="003069A9">
      <w:pPr>
        <w:numPr>
          <w:ilvl w:val="0"/>
          <w:numId w:val="2"/>
        </w:numPr>
        <w:spacing w:line="276" w:lineRule="auto"/>
        <w:ind w:hanging="360"/>
        <w:rPr>
          <w:color w:val="auto"/>
        </w:rPr>
      </w:pPr>
      <w:r w:rsidRPr="003069A9">
        <w:rPr>
          <w:color w:val="auto"/>
        </w:rPr>
        <w:t xml:space="preserve">El sistema de distribución de competencias en la Unión. Tipología, principios y mecanismos de control. El papel de los parlamentos nacionales en el control del principio de subsidiariedad.  </w:t>
      </w:r>
    </w:p>
    <w:p w:rsidR="009F70B5" w:rsidRPr="003069A9" w:rsidRDefault="0000626D" w:rsidP="003069A9">
      <w:pPr>
        <w:spacing w:after="103" w:line="276" w:lineRule="auto"/>
        <w:ind w:left="720" w:firstLine="0"/>
        <w:rPr>
          <w:color w:val="auto"/>
        </w:rPr>
      </w:pPr>
      <w:r w:rsidRPr="003069A9">
        <w:rPr>
          <w:color w:val="auto"/>
        </w:rPr>
        <w:t xml:space="preserve"> </w:t>
      </w:r>
    </w:p>
    <w:p w:rsidR="009F70B5" w:rsidRPr="003069A9" w:rsidRDefault="0000626D" w:rsidP="003069A9">
      <w:pPr>
        <w:pStyle w:val="Ttulo2"/>
        <w:spacing w:line="276" w:lineRule="auto"/>
        <w:ind w:left="379" w:hanging="394"/>
        <w:jc w:val="both"/>
        <w:rPr>
          <w:color w:val="auto"/>
        </w:rPr>
      </w:pPr>
      <w:r w:rsidRPr="003069A9">
        <w:rPr>
          <w:color w:val="auto"/>
        </w:rPr>
        <w:t>El Derecho de la Unión Europea</w:t>
      </w:r>
      <w:r w:rsidRPr="003069A9">
        <w:rPr>
          <w:b w:val="0"/>
          <w:i/>
          <w:color w:val="auto"/>
          <w:u w:val="none"/>
        </w:rPr>
        <w:t xml:space="preserve"> </w:t>
      </w:r>
    </w:p>
    <w:p w:rsidR="009F70B5" w:rsidRPr="003069A9" w:rsidRDefault="0000626D" w:rsidP="003069A9">
      <w:pPr>
        <w:numPr>
          <w:ilvl w:val="0"/>
          <w:numId w:val="3"/>
        </w:numPr>
        <w:spacing w:after="132" w:line="276" w:lineRule="auto"/>
        <w:ind w:hanging="360"/>
        <w:rPr>
          <w:color w:val="auto"/>
        </w:rPr>
      </w:pPr>
      <w:r w:rsidRPr="003069A9">
        <w:rPr>
          <w:color w:val="auto"/>
        </w:rPr>
        <w:t xml:space="preserve">La Unión Europea como comunidad de Derecho. El sistema de fuentes del Derecho de la Unión Europea. El Derecho originario. La reforma de los Tratados.  </w:t>
      </w:r>
    </w:p>
    <w:p w:rsidR="00051C0F" w:rsidRPr="003069A9" w:rsidRDefault="0000626D" w:rsidP="003069A9">
      <w:pPr>
        <w:numPr>
          <w:ilvl w:val="0"/>
          <w:numId w:val="3"/>
        </w:numPr>
        <w:spacing w:before="240" w:after="0" w:line="276" w:lineRule="auto"/>
        <w:ind w:left="703" w:hanging="357"/>
        <w:rPr>
          <w:color w:val="auto"/>
        </w:rPr>
      </w:pPr>
      <w:r w:rsidRPr="003069A9">
        <w:rPr>
          <w:color w:val="auto"/>
        </w:rPr>
        <w:t xml:space="preserve">El Derecho derivado. Actos delegados y actos de ejecución. El Derecho internacional público y el Derecho de la Unión Europea.  </w:t>
      </w:r>
    </w:p>
    <w:p w:rsidR="009F70B5" w:rsidRPr="003069A9" w:rsidRDefault="0000626D" w:rsidP="003069A9">
      <w:pPr>
        <w:numPr>
          <w:ilvl w:val="0"/>
          <w:numId w:val="3"/>
        </w:numPr>
        <w:spacing w:before="240" w:after="132" w:line="276" w:lineRule="auto"/>
        <w:ind w:left="703" w:hanging="357"/>
        <w:rPr>
          <w:color w:val="auto"/>
        </w:rPr>
      </w:pPr>
      <w:r w:rsidRPr="003069A9">
        <w:rPr>
          <w:color w:val="auto"/>
        </w:rPr>
        <w:t xml:space="preserve">La relación del Derecho de la Unión Europea con los ordenamientos jurídicos nacionales. Principios, aplicación y tutela judicial.  </w:t>
      </w:r>
    </w:p>
    <w:p w:rsidR="009F70B5" w:rsidRPr="003069A9" w:rsidRDefault="0000626D" w:rsidP="003069A9">
      <w:pPr>
        <w:numPr>
          <w:ilvl w:val="0"/>
          <w:numId w:val="3"/>
        </w:numPr>
        <w:spacing w:line="276" w:lineRule="auto"/>
        <w:ind w:hanging="360"/>
        <w:rPr>
          <w:color w:val="auto"/>
        </w:rPr>
      </w:pPr>
      <w:r w:rsidRPr="003069A9">
        <w:rPr>
          <w:color w:val="auto"/>
        </w:rPr>
        <w:lastRenderedPageBreak/>
        <w:t xml:space="preserve">El sistema jurisdiccional de la Unión Europea I. Composición y funciones del Tribunal de Justicia de la Unión Europea. La jurisprudencia del Tribunal de Justicia de la Unión Europea.  </w:t>
      </w:r>
    </w:p>
    <w:p w:rsidR="009F70B5" w:rsidRPr="003069A9" w:rsidRDefault="0000626D" w:rsidP="003069A9">
      <w:pPr>
        <w:numPr>
          <w:ilvl w:val="0"/>
          <w:numId w:val="3"/>
        </w:numPr>
        <w:spacing w:line="276" w:lineRule="auto"/>
        <w:ind w:hanging="360"/>
        <w:rPr>
          <w:color w:val="auto"/>
        </w:rPr>
      </w:pPr>
      <w:r w:rsidRPr="003069A9">
        <w:rPr>
          <w:color w:val="auto"/>
        </w:rPr>
        <w:t xml:space="preserve">El sistema jurisdiccional de la Unión Europea II. Los recursos directos. La cuestión prejudicial.  </w:t>
      </w:r>
    </w:p>
    <w:p w:rsidR="009F70B5" w:rsidRPr="003069A9" w:rsidRDefault="0000626D" w:rsidP="003069A9">
      <w:pPr>
        <w:spacing w:after="103" w:line="276" w:lineRule="auto"/>
        <w:ind w:left="720" w:firstLine="0"/>
        <w:rPr>
          <w:color w:val="auto"/>
        </w:rPr>
      </w:pPr>
      <w:r w:rsidRPr="003069A9">
        <w:rPr>
          <w:color w:val="auto"/>
        </w:rPr>
        <w:t xml:space="preserve">  </w:t>
      </w:r>
    </w:p>
    <w:p w:rsidR="009F70B5" w:rsidRPr="003069A9" w:rsidRDefault="0000626D" w:rsidP="003069A9">
      <w:pPr>
        <w:pStyle w:val="Ttulo2"/>
        <w:spacing w:line="276" w:lineRule="auto"/>
        <w:ind w:left="379" w:hanging="394"/>
        <w:jc w:val="both"/>
        <w:rPr>
          <w:color w:val="auto"/>
        </w:rPr>
      </w:pPr>
      <w:r w:rsidRPr="003069A9">
        <w:rPr>
          <w:color w:val="auto"/>
        </w:rPr>
        <w:t>El sistema institucional y los procedimientos decisorios en la Unión Europea</w:t>
      </w:r>
      <w:r w:rsidRPr="003069A9">
        <w:rPr>
          <w:color w:val="auto"/>
          <w:u w:val="none"/>
        </w:rPr>
        <w:t xml:space="preserve">  </w:t>
      </w:r>
    </w:p>
    <w:p w:rsidR="009F70B5" w:rsidRPr="003069A9" w:rsidRDefault="0000626D" w:rsidP="003069A9">
      <w:pPr>
        <w:spacing w:after="111" w:line="276" w:lineRule="auto"/>
        <w:ind w:left="0" w:firstLine="0"/>
        <w:rPr>
          <w:color w:val="auto"/>
        </w:rPr>
      </w:pPr>
      <w:r w:rsidRPr="003069A9">
        <w:rPr>
          <w:b/>
          <w:i w:val="0"/>
          <w:color w:val="auto"/>
        </w:rPr>
        <w:t xml:space="preserve"> </w:t>
      </w:r>
    </w:p>
    <w:p w:rsidR="009F70B5" w:rsidRPr="003069A9" w:rsidRDefault="0000626D" w:rsidP="003069A9">
      <w:pPr>
        <w:numPr>
          <w:ilvl w:val="0"/>
          <w:numId w:val="4"/>
        </w:numPr>
        <w:spacing w:after="132" w:line="276" w:lineRule="auto"/>
        <w:ind w:hanging="360"/>
        <w:rPr>
          <w:color w:val="auto"/>
        </w:rPr>
      </w:pPr>
      <w:r w:rsidRPr="003069A9">
        <w:rPr>
          <w:color w:val="auto"/>
        </w:rPr>
        <w:t xml:space="preserve">El sistema institucional de la Unión Europea. El principio de equilibrio institucional y los procedimientos de adopción de decisiones en la Unión.  </w:t>
      </w:r>
    </w:p>
    <w:p w:rsidR="00BB48CC" w:rsidRPr="003069A9" w:rsidRDefault="00BB48CC" w:rsidP="003069A9">
      <w:pPr>
        <w:numPr>
          <w:ilvl w:val="0"/>
          <w:numId w:val="4"/>
        </w:numPr>
        <w:spacing w:line="276" w:lineRule="auto"/>
        <w:ind w:hanging="360"/>
        <w:rPr>
          <w:color w:val="auto"/>
        </w:rPr>
      </w:pPr>
      <w:r w:rsidRPr="003069A9">
        <w:rPr>
          <w:color w:val="auto"/>
        </w:rPr>
        <w:t xml:space="preserve">El Parlamento Europeo: composición, fundaciones y retos legislativos y políticos para 2024-2029  </w:t>
      </w:r>
    </w:p>
    <w:p w:rsidR="00BB48CC" w:rsidRPr="003069A9" w:rsidRDefault="00BB48CC" w:rsidP="003069A9">
      <w:pPr>
        <w:numPr>
          <w:ilvl w:val="0"/>
          <w:numId w:val="4"/>
        </w:numPr>
        <w:spacing w:line="276" w:lineRule="auto"/>
        <w:ind w:hanging="360"/>
        <w:rPr>
          <w:color w:val="auto"/>
        </w:rPr>
      </w:pPr>
      <w:proofErr w:type="spellStart"/>
      <w:r w:rsidRPr="003069A9">
        <w:rPr>
          <w:color w:val="auto"/>
        </w:rPr>
        <w:t>Hearings</w:t>
      </w:r>
      <w:proofErr w:type="spellEnd"/>
      <w:r w:rsidRPr="003069A9">
        <w:rPr>
          <w:color w:val="auto"/>
        </w:rPr>
        <w:t xml:space="preserve"> en el Parlamento Europeo: un caso práctico.  </w:t>
      </w:r>
    </w:p>
    <w:p w:rsidR="00BB48CC" w:rsidRPr="003069A9" w:rsidRDefault="00BB48CC" w:rsidP="003069A9">
      <w:pPr>
        <w:numPr>
          <w:ilvl w:val="0"/>
          <w:numId w:val="4"/>
        </w:numPr>
        <w:spacing w:line="276" w:lineRule="auto"/>
        <w:ind w:hanging="360"/>
        <w:rPr>
          <w:color w:val="auto"/>
        </w:rPr>
      </w:pPr>
      <w:r w:rsidRPr="003069A9">
        <w:rPr>
          <w:color w:val="auto"/>
        </w:rPr>
        <w:t xml:space="preserve">El Consejo Europeo y el Consejo de la Unión Europea. </w:t>
      </w:r>
    </w:p>
    <w:p w:rsidR="00BB48CC" w:rsidRPr="003069A9" w:rsidRDefault="00BB48CC" w:rsidP="003069A9">
      <w:pPr>
        <w:numPr>
          <w:ilvl w:val="0"/>
          <w:numId w:val="4"/>
        </w:numPr>
        <w:spacing w:line="276" w:lineRule="auto"/>
        <w:ind w:hanging="360"/>
        <w:rPr>
          <w:color w:val="auto"/>
        </w:rPr>
      </w:pPr>
      <w:r w:rsidRPr="003069A9">
        <w:rPr>
          <w:color w:val="auto"/>
        </w:rPr>
        <w:t xml:space="preserve">La Comisión Europea.  </w:t>
      </w:r>
    </w:p>
    <w:p w:rsidR="00BB48CC" w:rsidRPr="003069A9" w:rsidRDefault="00BB48CC" w:rsidP="003069A9">
      <w:pPr>
        <w:numPr>
          <w:ilvl w:val="0"/>
          <w:numId w:val="4"/>
        </w:numPr>
        <w:spacing w:line="276" w:lineRule="auto"/>
        <w:ind w:hanging="360"/>
        <w:rPr>
          <w:color w:val="auto"/>
        </w:rPr>
      </w:pPr>
      <w:r w:rsidRPr="003069A9">
        <w:rPr>
          <w:color w:val="auto"/>
        </w:rPr>
        <w:t xml:space="preserve">Procedimientos legislativos en la Unión Europea. </w:t>
      </w:r>
      <w:r w:rsidRPr="003069A9">
        <w:rPr>
          <w:i w:val="0"/>
          <w:color w:val="auto"/>
        </w:rPr>
        <w:t xml:space="preserve"> </w:t>
      </w:r>
    </w:p>
    <w:p w:rsidR="009F70B5" w:rsidRPr="003069A9" w:rsidRDefault="0000626D" w:rsidP="003069A9">
      <w:pPr>
        <w:numPr>
          <w:ilvl w:val="0"/>
          <w:numId w:val="4"/>
        </w:numPr>
        <w:spacing w:line="276" w:lineRule="auto"/>
        <w:ind w:hanging="360"/>
        <w:rPr>
          <w:color w:val="auto"/>
        </w:rPr>
      </w:pPr>
      <w:r w:rsidRPr="003069A9">
        <w:rPr>
          <w:color w:val="auto"/>
        </w:rPr>
        <w:t xml:space="preserve">Procedimientos de infracción en la Unión Europea.  </w:t>
      </w:r>
    </w:p>
    <w:p w:rsidR="009F70B5" w:rsidRPr="003069A9" w:rsidRDefault="0000626D" w:rsidP="003069A9">
      <w:pPr>
        <w:numPr>
          <w:ilvl w:val="0"/>
          <w:numId w:val="4"/>
        </w:numPr>
        <w:spacing w:line="276" w:lineRule="auto"/>
        <w:ind w:hanging="360"/>
        <w:rPr>
          <w:color w:val="auto"/>
        </w:rPr>
      </w:pPr>
      <w:r w:rsidRPr="003069A9">
        <w:rPr>
          <w:color w:val="auto"/>
        </w:rPr>
        <w:t xml:space="preserve">El Banco Central Europeo: composición, organización y funcionamiento. </w:t>
      </w:r>
      <w:r w:rsidRPr="003069A9">
        <w:rPr>
          <w:i w:val="0"/>
          <w:color w:val="auto"/>
        </w:rPr>
        <w:t xml:space="preserve"> </w:t>
      </w:r>
    </w:p>
    <w:p w:rsidR="009F70B5" w:rsidRPr="003069A9" w:rsidRDefault="0000626D" w:rsidP="003069A9">
      <w:pPr>
        <w:numPr>
          <w:ilvl w:val="0"/>
          <w:numId w:val="4"/>
        </w:numPr>
        <w:spacing w:line="276" w:lineRule="auto"/>
        <w:ind w:hanging="360"/>
        <w:rPr>
          <w:color w:val="auto"/>
        </w:rPr>
      </w:pPr>
      <w:r w:rsidRPr="003069A9">
        <w:rPr>
          <w:color w:val="auto"/>
        </w:rPr>
        <w:t>El Banco Europeo de Inversiones.</w:t>
      </w:r>
      <w:r w:rsidRPr="003069A9">
        <w:rPr>
          <w:i w:val="0"/>
          <w:color w:val="auto"/>
        </w:rPr>
        <w:t xml:space="preserve"> </w:t>
      </w:r>
      <w:r w:rsidRPr="003069A9">
        <w:rPr>
          <w:color w:val="auto"/>
        </w:rPr>
        <w:t xml:space="preserve"> </w:t>
      </w:r>
    </w:p>
    <w:p w:rsidR="009F70B5" w:rsidRPr="003069A9" w:rsidRDefault="0000626D" w:rsidP="003069A9">
      <w:pPr>
        <w:numPr>
          <w:ilvl w:val="0"/>
          <w:numId w:val="4"/>
        </w:numPr>
        <w:spacing w:line="276" w:lineRule="auto"/>
        <w:ind w:hanging="360"/>
        <w:rPr>
          <w:color w:val="auto"/>
        </w:rPr>
      </w:pPr>
      <w:r w:rsidRPr="003069A9">
        <w:rPr>
          <w:color w:val="auto"/>
        </w:rPr>
        <w:t xml:space="preserve">El Comité Económico y Social y el Comité de las Regiones.  </w:t>
      </w:r>
    </w:p>
    <w:p w:rsidR="007E75B3" w:rsidRPr="003069A9" w:rsidRDefault="007E75B3" w:rsidP="003069A9">
      <w:pPr>
        <w:numPr>
          <w:ilvl w:val="0"/>
          <w:numId w:val="4"/>
        </w:numPr>
        <w:spacing w:after="129" w:line="276" w:lineRule="auto"/>
        <w:ind w:hanging="360"/>
        <w:rPr>
          <w:color w:val="auto"/>
        </w:rPr>
      </w:pPr>
      <w:r w:rsidRPr="003069A9">
        <w:rPr>
          <w:color w:val="auto"/>
        </w:rPr>
        <w:t xml:space="preserve">Los derechos humanos y las libertades fundamentales en la Unión. La ciudadanía de la Unión Europea. El Defensor del </w:t>
      </w:r>
      <w:r w:rsidR="00E74195" w:rsidRPr="003069A9">
        <w:rPr>
          <w:color w:val="auto"/>
        </w:rPr>
        <w:t>Pueblo Europeo</w:t>
      </w:r>
      <w:r w:rsidRPr="003069A9">
        <w:rPr>
          <w:color w:val="auto"/>
        </w:rPr>
        <w:t>.</w:t>
      </w:r>
      <w:r w:rsidR="00025666" w:rsidRPr="003069A9">
        <w:rPr>
          <w:color w:val="auto"/>
        </w:rPr>
        <w:t xml:space="preserve"> La participación ciudadana. </w:t>
      </w:r>
    </w:p>
    <w:p w:rsidR="009F70B5" w:rsidRPr="003069A9" w:rsidRDefault="0000626D" w:rsidP="003069A9">
      <w:pPr>
        <w:spacing w:after="101" w:line="276" w:lineRule="auto"/>
        <w:ind w:left="0" w:firstLine="0"/>
        <w:rPr>
          <w:color w:val="auto"/>
        </w:rPr>
      </w:pPr>
      <w:r w:rsidRPr="003069A9">
        <w:rPr>
          <w:i w:val="0"/>
          <w:color w:val="auto"/>
        </w:rPr>
        <w:t xml:space="preserve"> </w:t>
      </w:r>
    </w:p>
    <w:p w:rsidR="009F70B5" w:rsidRPr="003069A9" w:rsidRDefault="0000626D" w:rsidP="003069A9">
      <w:pPr>
        <w:pStyle w:val="Ttulo1"/>
        <w:spacing w:line="276" w:lineRule="auto"/>
        <w:ind w:left="352" w:hanging="367"/>
        <w:jc w:val="both"/>
        <w:rPr>
          <w:color w:val="auto"/>
        </w:rPr>
      </w:pPr>
      <w:r w:rsidRPr="003069A9">
        <w:rPr>
          <w:color w:val="auto"/>
        </w:rPr>
        <w:t>POLÍTICAS DE LA UNIÓN EUROPEA</w:t>
      </w:r>
      <w:r w:rsidRPr="003069A9">
        <w:rPr>
          <w:color w:val="auto"/>
          <w:u w:val="none"/>
        </w:rPr>
        <w:t xml:space="preserve">  </w:t>
      </w:r>
    </w:p>
    <w:p w:rsidR="009F70B5" w:rsidRPr="003069A9" w:rsidRDefault="0000626D" w:rsidP="003069A9">
      <w:pPr>
        <w:spacing w:after="111" w:line="276" w:lineRule="auto"/>
        <w:ind w:left="0" w:firstLine="0"/>
        <w:rPr>
          <w:color w:val="auto"/>
        </w:rPr>
      </w:pPr>
      <w:r w:rsidRPr="003069A9">
        <w:rPr>
          <w:b/>
          <w:i w:val="0"/>
          <w:color w:val="auto"/>
        </w:rPr>
        <w:t xml:space="preserve"> </w:t>
      </w:r>
    </w:p>
    <w:p w:rsidR="009F70B5" w:rsidRPr="003069A9" w:rsidRDefault="0000626D" w:rsidP="003069A9">
      <w:pPr>
        <w:numPr>
          <w:ilvl w:val="0"/>
          <w:numId w:val="5"/>
        </w:numPr>
        <w:spacing w:after="130" w:line="276" w:lineRule="auto"/>
        <w:ind w:hanging="360"/>
        <w:rPr>
          <w:color w:val="auto"/>
        </w:rPr>
      </w:pPr>
      <w:r w:rsidRPr="003069A9">
        <w:rPr>
          <w:color w:val="auto"/>
        </w:rPr>
        <w:t xml:space="preserve">La formulación de políticas en la Unión Europea. Mercado interior: origen, desarrollo y evolución reciente. Las cuatro libertades fundamentales de la Unión.  </w:t>
      </w:r>
    </w:p>
    <w:p w:rsidR="009F70B5" w:rsidRPr="003069A9" w:rsidRDefault="00397C3A" w:rsidP="003069A9">
      <w:pPr>
        <w:numPr>
          <w:ilvl w:val="0"/>
          <w:numId w:val="5"/>
        </w:numPr>
        <w:spacing w:line="276" w:lineRule="auto"/>
        <w:ind w:hanging="360"/>
        <w:rPr>
          <w:color w:val="auto"/>
        </w:rPr>
      </w:pPr>
      <w:r w:rsidRPr="003069A9">
        <w:rPr>
          <w:color w:val="auto"/>
        </w:rPr>
        <w:t>Política Agrícola Común</w:t>
      </w:r>
      <w:r w:rsidR="0000626D" w:rsidRPr="003069A9">
        <w:rPr>
          <w:color w:val="auto"/>
        </w:rPr>
        <w:t xml:space="preserve"> y Política Pesquera Común.   </w:t>
      </w:r>
    </w:p>
    <w:p w:rsidR="009F70B5" w:rsidRPr="003069A9" w:rsidRDefault="000A1D51" w:rsidP="003069A9">
      <w:pPr>
        <w:numPr>
          <w:ilvl w:val="0"/>
          <w:numId w:val="5"/>
        </w:numPr>
        <w:spacing w:line="276" w:lineRule="auto"/>
        <w:ind w:hanging="360"/>
        <w:rPr>
          <w:color w:val="auto"/>
        </w:rPr>
      </w:pPr>
      <w:r w:rsidRPr="003069A9">
        <w:rPr>
          <w:color w:val="auto"/>
        </w:rPr>
        <w:t xml:space="preserve">Política Migratoria: dimensiones internas y externa. </w:t>
      </w:r>
      <w:r w:rsidR="0000626D" w:rsidRPr="003069A9">
        <w:rPr>
          <w:color w:val="auto"/>
        </w:rPr>
        <w:t xml:space="preserve">Espacio de Libertad, Seguridad y Justicia.  </w:t>
      </w:r>
    </w:p>
    <w:p w:rsidR="00397C3A" w:rsidRPr="003069A9" w:rsidRDefault="00397C3A" w:rsidP="003069A9">
      <w:pPr>
        <w:numPr>
          <w:ilvl w:val="0"/>
          <w:numId w:val="5"/>
        </w:numPr>
        <w:spacing w:line="276" w:lineRule="auto"/>
        <w:ind w:hanging="360"/>
        <w:rPr>
          <w:color w:val="auto"/>
        </w:rPr>
      </w:pPr>
      <w:r w:rsidRPr="003069A9">
        <w:rPr>
          <w:color w:val="auto"/>
        </w:rPr>
        <w:t xml:space="preserve">Industria. El Fondo Europeo de Inversiones Estratégicas.  </w:t>
      </w:r>
    </w:p>
    <w:p w:rsidR="00397C3A" w:rsidRPr="003069A9" w:rsidRDefault="00397C3A" w:rsidP="003069A9">
      <w:pPr>
        <w:numPr>
          <w:ilvl w:val="0"/>
          <w:numId w:val="5"/>
        </w:numPr>
        <w:spacing w:line="276" w:lineRule="auto"/>
        <w:ind w:hanging="360"/>
        <w:rPr>
          <w:color w:val="auto"/>
        </w:rPr>
      </w:pPr>
      <w:r w:rsidRPr="003069A9">
        <w:rPr>
          <w:color w:val="auto"/>
        </w:rPr>
        <w:t>La Agenda Digital Europea.</w:t>
      </w:r>
    </w:p>
    <w:p w:rsidR="00397C3A" w:rsidRPr="003069A9" w:rsidRDefault="00397C3A" w:rsidP="003069A9">
      <w:pPr>
        <w:numPr>
          <w:ilvl w:val="0"/>
          <w:numId w:val="5"/>
        </w:numPr>
        <w:spacing w:line="276" w:lineRule="auto"/>
        <w:ind w:hanging="360"/>
        <w:rPr>
          <w:color w:val="auto"/>
        </w:rPr>
      </w:pPr>
      <w:r w:rsidRPr="003069A9">
        <w:rPr>
          <w:color w:val="auto"/>
        </w:rPr>
        <w:t xml:space="preserve">El Pacto Verde. </w:t>
      </w:r>
      <w:r w:rsidRPr="003069A9">
        <w:rPr>
          <w:i w:val="0"/>
          <w:color w:val="auto"/>
        </w:rPr>
        <w:t xml:space="preserve"> </w:t>
      </w:r>
    </w:p>
    <w:p w:rsidR="003B4F1B" w:rsidRPr="003069A9" w:rsidRDefault="003B4F1B" w:rsidP="003069A9">
      <w:pPr>
        <w:numPr>
          <w:ilvl w:val="0"/>
          <w:numId w:val="5"/>
        </w:numPr>
        <w:spacing w:line="276" w:lineRule="auto"/>
        <w:ind w:hanging="360"/>
        <w:rPr>
          <w:color w:val="auto"/>
        </w:rPr>
      </w:pPr>
      <w:r w:rsidRPr="003069A9">
        <w:rPr>
          <w:color w:val="auto"/>
        </w:rPr>
        <w:lastRenderedPageBreak/>
        <w:t xml:space="preserve">Energía y Transporte.  </w:t>
      </w:r>
    </w:p>
    <w:p w:rsidR="009F70B5" w:rsidRPr="003069A9" w:rsidRDefault="0000626D" w:rsidP="003069A9">
      <w:pPr>
        <w:numPr>
          <w:ilvl w:val="0"/>
          <w:numId w:val="5"/>
        </w:numPr>
        <w:spacing w:line="276" w:lineRule="auto"/>
        <w:ind w:hanging="360"/>
        <w:rPr>
          <w:color w:val="auto"/>
        </w:rPr>
      </w:pPr>
      <w:r w:rsidRPr="003069A9">
        <w:rPr>
          <w:color w:val="auto"/>
        </w:rPr>
        <w:t xml:space="preserve">Telecomunicaciones.  </w:t>
      </w:r>
    </w:p>
    <w:p w:rsidR="00397C3A" w:rsidRPr="003069A9" w:rsidRDefault="00397C3A" w:rsidP="003069A9">
      <w:pPr>
        <w:numPr>
          <w:ilvl w:val="0"/>
          <w:numId w:val="5"/>
        </w:numPr>
        <w:spacing w:line="276" w:lineRule="auto"/>
        <w:ind w:hanging="360"/>
        <w:rPr>
          <w:color w:val="auto"/>
        </w:rPr>
      </w:pPr>
      <w:r w:rsidRPr="003069A9">
        <w:rPr>
          <w:color w:val="auto"/>
        </w:rPr>
        <w:t xml:space="preserve">Empleo. Política social. Educación. </w:t>
      </w:r>
    </w:p>
    <w:p w:rsidR="00397C3A" w:rsidRPr="003069A9" w:rsidRDefault="00397C3A" w:rsidP="003069A9">
      <w:pPr>
        <w:numPr>
          <w:ilvl w:val="0"/>
          <w:numId w:val="5"/>
        </w:numPr>
        <w:spacing w:line="276" w:lineRule="auto"/>
        <w:ind w:hanging="360"/>
        <w:rPr>
          <w:color w:val="auto"/>
        </w:rPr>
      </w:pPr>
      <w:r w:rsidRPr="003069A9">
        <w:rPr>
          <w:color w:val="auto"/>
        </w:rPr>
        <w:t xml:space="preserve">Salud pública.  </w:t>
      </w:r>
    </w:p>
    <w:p w:rsidR="00397C3A" w:rsidRPr="003069A9" w:rsidRDefault="00397C3A" w:rsidP="003069A9">
      <w:pPr>
        <w:numPr>
          <w:ilvl w:val="0"/>
          <w:numId w:val="5"/>
        </w:numPr>
        <w:spacing w:line="276" w:lineRule="auto"/>
        <w:ind w:hanging="360"/>
        <w:rPr>
          <w:color w:val="auto"/>
        </w:rPr>
      </w:pPr>
      <w:r w:rsidRPr="003069A9">
        <w:rPr>
          <w:color w:val="auto"/>
        </w:rPr>
        <w:t xml:space="preserve">Cultura, juventud y deporte. </w:t>
      </w:r>
    </w:p>
    <w:p w:rsidR="009F70B5" w:rsidRPr="003069A9" w:rsidRDefault="0000626D" w:rsidP="003069A9">
      <w:pPr>
        <w:numPr>
          <w:ilvl w:val="0"/>
          <w:numId w:val="5"/>
        </w:numPr>
        <w:spacing w:line="276" w:lineRule="auto"/>
        <w:ind w:hanging="360"/>
        <w:rPr>
          <w:color w:val="auto"/>
        </w:rPr>
      </w:pPr>
      <w:r w:rsidRPr="003069A9">
        <w:rPr>
          <w:color w:val="auto"/>
        </w:rPr>
        <w:t xml:space="preserve">Competencia. Ayudas públicas. </w:t>
      </w:r>
      <w:r w:rsidRPr="003069A9">
        <w:rPr>
          <w:i w:val="0"/>
          <w:color w:val="auto"/>
        </w:rPr>
        <w:t xml:space="preserve"> </w:t>
      </w:r>
    </w:p>
    <w:p w:rsidR="00BB48CC" w:rsidRPr="003069A9" w:rsidRDefault="00BB48CC" w:rsidP="003069A9">
      <w:pPr>
        <w:numPr>
          <w:ilvl w:val="0"/>
          <w:numId w:val="5"/>
        </w:numPr>
        <w:spacing w:after="132" w:line="276" w:lineRule="auto"/>
        <w:ind w:hanging="360"/>
        <w:rPr>
          <w:color w:val="auto"/>
        </w:rPr>
      </w:pPr>
      <w:r w:rsidRPr="003069A9">
        <w:rPr>
          <w:color w:val="auto"/>
        </w:rPr>
        <w:t xml:space="preserve">Unión Económica y Monetaria. </w:t>
      </w:r>
      <w:proofErr w:type="spellStart"/>
      <w:r w:rsidRPr="003069A9">
        <w:rPr>
          <w:color w:val="auto"/>
        </w:rPr>
        <w:t>Eurocrisis</w:t>
      </w:r>
      <w:proofErr w:type="spellEnd"/>
      <w:r w:rsidRPr="003069A9">
        <w:rPr>
          <w:color w:val="auto"/>
        </w:rPr>
        <w:t xml:space="preserve"> y la consolidación de la arquitectura institucional del Euro. </w:t>
      </w:r>
    </w:p>
    <w:p w:rsidR="009F70B5" w:rsidRPr="003069A9" w:rsidRDefault="0000626D" w:rsidP="003069A9">
      <w:pPr>
        <w:numPr>
          <w:ilvl w:val="0"/>
          <w:numId w:val="5"/>
        </w:numPr>
        <w:spacing w:line="276" w:lineRule="auto"/>
        <w:ind w:hanging="360"/>
        <w:rPr>
          <w:color w:val="auto"/>
        </w:rPr>
      </w:pPr>
      <w:r w:rsidRPr="003069A9">
        <w:rPr>
          <w:color w:val="auto"/>
        </w:rPr>
        <w:t xml:space="preserve">El Marco Financiero Plurianual y el Presupuesto de la Unión.  </w:t>
      </w:r>
    </w:p>
    <w:p w:rsidR="007E75B3" w:rsidRPr="003069A9" w:rsidRDefault="007E75B3" w:rsidP="003069A9">
      <w:pPr>
        <w:numPr>
          <w:ilvl w:val="0"/>
          <w:numId w:val="5"/>
        </w:numPr>
        <w:spacing w:line="276" w:lineRule="auto"/>
        <w:ind w:hanging="360"/>
        <w:rPr>
          <w:color w:val="auto"/>
        </w:rPr>
      </w:pPr>
      <w:r w:rsidRPr="003069A9">
        <w:rPr>
          <w:color w:val="auto"/>
        </w:rPr>
        <w:t xml:space="preserve">El </w:t>
      </w:r>
      <w:proofErr w:type="spellStart"/>
      <w:r w:rsidRPr="003069A9">
        <w:rPr>
          <w:color w:val="auto"/>
        </w:rPr>
        <w:t>Next</w:t>
      </w:r>
      <w:proofErr w:type="spellEnd"/>
      <w:r w:rsidRPr="003069A9">
        <w:rPr>
          <w:color w:val="auto"/>
        </w:rPr>
        <w:t xml:space="preserve"> </w:t>
      </w:r>
      <w:proofErr w:type="spellStart"/>
      <w:r w:rsidRPr="003069A9">
        <w:rPr>
          <w:color w:val="auto"/>
        </w:rPr>
        <w:t>Generation</w:t>
      </w:r>
      <w:proofErr w:type="spellEnd"/>
      <w:r w:rsidRPr="003069A9">
        <w:rPr>
          <w:color w:val="auto"/>
        </w:rPr>
        <w:t xml:space="preserve"> EU: anatomía del plan de recuperación de la Unión Europea </w:t>
      </w:r>
    </w:p>
    <w:p w:rsidR="00C42350" w:rsidRPr="003069A9" w:rsidRDefault="00397C3A" w:rsidP="003069A9">
      <w:pPr>
        <w:numPr>
          <w:ilvl w:val="0"/>
          <w:numId w:val="5"/>
        </w:numPr>
        <w:spacing w:after="132" w:line="276" w:lineRule="auto"/>
        <w:ind w:hanging="360"/>
        <w:rPr>
          <w:color w:val="auto"/>
        </w:rPr>
      </w:pPr>
      <w:r w:rsidRPr="003069A9">
        <w:rPr>
          <w:color w:val="auto"/>
        </w:rPr>
        <w:t xml:space="preserve">Política de Cohesión. </w:t>
      </w:r>
      <w:r w:rsidR="00C42350" w:rsidRPr="003069A9">
        <w:rPr>
          <w:color w:val="auto"/>
        </w:rPr>
        <w:t xml:space="preserve">Fondos estructurales y de inversión. </w:t>
      </w:r>
    </w:p>
    <w:p w:rsidR="00C42350" w:rsidRPr="003069A9" w:rsidRDefault="00C42350" w:rsidP="003069A9">
      <w:pPr>
        <w:spacing w:after="132" w:line="276" w:lineRule="auto"/>
        <w:ind w:left="705" w:firstLine="0"/>
        <w:rPr>
          <w:color w:val="auto"/>
        </w:rPr>
      </w:pPr>
    </w:p>
    <w:p w:rsidR="009F70B5" w:rsidRPr="003069A9" w:rsidRDefault="0000626D" w:rsidP="003069A9">
      <w:pPr>
        <w:pStyle w:val="Ttulo1"/>
        <w:spacing w:line="276" w:lineRule="auto"/>
        <w:ind w:left="340" w:hanging="355"/>
        <w:jc w:val="both"/>
        <w:rPr>
          <w:color w:val="auto"/>
        </w:rPr>
      </w:pPr>
      <w:r w:rsidRPr="003069A9">
        <w:rPr>
          <w:color w:val="auto"/>
        </w:rPr>
        <w:t>LA ACCIÓN EXTERIOR DE LA UNIÓN EUROPEA</w:t>
      </w:r>
      <w:r w:rsidRPr="003069A9">
        <w:rPr>
          <w:color w:val="auto"/>
          <w:u w:val="none"/>
        </w:rPr>
        <w:t xml:space="preserve"> </w:t>
      </w:r>
    </w:p>
    <w:p w:rsidR="009F70B5" w:rsidRPr="003069A9" w:rsidRDefault="0000626D" w:rsidP="003069A9">
      <w:pPr>
        <w:spacing w:after="111" w:line="276" w:lineRule="auto"/>
        <w:ind w:left="0" w:firstLine="0"/>
        <w:rPr>
          <w:color w:val="auto"/>
        </w:rPr>
      </w:pPr>
      <w:r w:rsidRPr="003069A9">
        <w:rPr>
          <w:b/>
          <w:i w:val="0"/>
          <w:color w:val="auto"/>
        </w:rPr>
        <w:t xml:space="preserve"> </w:t>
      </w:r>
    </w:p>
    <w:p w:rsidR="00BB48CC" w:rsidRPr="003069A9" w:rsidRDefault="0000626D" w:rsidP="003069A9">
      <w:pPr>
        <w:numPr>
          <w:ilvl w:val="0"/>
          <w:numId w:val="6"/>
        </w:numPr>
        <w:spacing w:after="130" w:line="276" w:lineRule="auto"/>
        <w:ind w:hanging="358"/>
        <w:rPr>
          <w:color w:val="auto"/>
        </w:rPr>
      </w:pPr>
      <w:r w:rsidRPr="003069A9">
        <w:rPr>
          <w:color w:val="auto"/>
        </w:rPr>
        <w:t xml:space="preserve">La Política Exterior y de Seguridad Común. El Alto Representante de la Unión Europea para Asuntos Exteriores y Política de Seguridad. El Servicio Europeo de Acción Exterior. </w:t>
      </w:r>
    </w:p>
    <w:p w:rsidR="009F70B5" w:rsidRPr="003069A9" w:rsidRDefault="00BB48CC" w:rsidP="003069A9">
      <w:pPr>
        <w:numPr>
          <w:ilvl w:val="0"/>
          <w:numId w:val="5"/>
        </w:numPr>
        <w:spacing w:after="132" w:line="276" w:lineRule="auto"/>
        <w:ind w:hanging="360"/>
        <w:rPr>
          <w:color w:val="auto"/>
        </w:rPr>
      </w:pPr>
      <w:r w:rsidRPr="003069A9">
        <w:rPr>
          <w:color w:val="auto"/>
        </w:rPr>
        <w:t xml:space="preserve">Política Común de Seguridad y Defensa. </w:t>
      </w:r>
    </w:p>
    <w:p w:rsidR="000A1D51" w:rsidRPr="003069A9" w:rsidRDefault="000A1D51" w:rsidP="003069A9">
      <w:pPr>
        <w:numPr>
          <w:ilvl w:val="0"/>
          <w:numId w:val="6"/>
        </w:numPr>
        <w:spacing w:line="276" w:lineRule="auto"/>
        <w:ind w:hanging="358"/>
        <w:rPr>
          <w:color w:val="auto"/>
        </w:rPr>
      </w:pPr>
      <w:r w:rsidRPr="003069A9">
        <w:rPr>
          <w:color w:val="auto"/>
        </w:rPr>
        <w:t xml:space="preserve">La Política Comercial Común y la celebración de acuerdos internacionales por la Unión Europea. </w:t>
      </w:r>
    </w:p>
    <w:p w:rsidR="009F70B5" w:rsidRPr="003069A9" w:rsidRDefault="000A1D51" w:rsidP="003069A9">
      <w:pPr>
        <w:numPr>
          <w:ilvl w:val="0"/>
          <w:numId w:val="6"/>
        </w:numPr>
        <w:spacing w:line="276" w:lineRule="auto"/>
        <w:ind w:hanging="358"/>
        <w:rPr>
          <w:color w:val="auto"/>
        </w:rPr>
      </w:pPr>
      <w:r w:rsidRPr="003069A9">
        <w:rPr>
          <w:color w:val="auto"/>
        </w:rPr>
        <w:t>La Política de Cooperación al D</w:t>
      </w:r>
      <w:r w:rsidR="0000626D" w:rsidRPr="003069A9">
        <w:rPr>
          <w:color w:val="auto"/>
        </w:rPr>
        <w:t xml:space="preserve">esarrollo y </w:t>
      </w:r>
      <w:r w:rsidRPr="003069A9">
        <w:rPr>
          <w:color w:val="auto"/>
        </w:rPr>
        <w:t>Ayuda H</w:t>
      </w:r>
      <w:r w:rsidR="0000626D" w:rsidRPr="003069A9">
        <w:rPr>
          <w:color w:val="auto"/>
        </w:rPr>
        <w:t xml:space="preserve">umanitaria.  </w:t>
      </w:r>
    </w:p>
    <w:p w:rsidR="00BB48CC" w:rsidRPr="003069A9" w:rsidRDefault="00BB48CC" w:rsidP="003069A9">
      <w:pPr>
        <w:numPr>
          <w:ilvl w:val="0"/>
          <w:numId w:val="6"/>
        </w:numPr>
        <w:spacing w:line="276" w:lineRule="auto"/>
        <w:ind w:hanging="358"/>
        <w:rPr>
          <w:color w:val="auto"/>
        </w:rPr>
      </w:pPr>
      <w:r w:rsidRPr="003069A9">
        <w:rPr>
          <w:color w:val="auto"/>
        </w:rPr>
        <w:t xml:space="preserve">Global Gateway. </w:t>
      </w:r>
    </w:p>
    <w:p w:rsidR="009F70B5" w:rsidRPr="003069A9" w:rsidRDefault="0000626D" w:rsidP="003069A9">
      <w:pPr>
        <w:numPr>
          <w:ilvl w:val="0"/>
          <w:numId w:val="6"/>
        </w:numPr>
        <w:spacing w:line="276" w:lineRule="auto"/>
        <w:ind w:hanging="358"/>
        <w:rPr>
          <w:color w:val="auto"/>
        </w:rPr>
      </w:pPr>
      <w:r w:rsidRPr="003069A9">
        <w:rPr>
          <w:color w:val="auto"/>
        </w:rPr>
        <w:t xml:space="preserve">El Espacio Económico Europeo. Las relaciones con Suiza y los </w:t>
      </w:r>
      <w:proofErr w:type="spellStart"/>
      <w:r w:rsidR="00241397" w:rsidRPr="003069A9">
        <w:rPr>
          <w:color w:val="auto"/>
        </w:rPr>
        <w:t>microestados</w:t>
      </w:r>
      <w:proofErr w:type="spellEnd"/>
      <w:r w:rsidR="00241397" w:rsidRPr="003069A9">
        <w:rPr>
          <w:color w:val="auto"/>
        </w:rPr>
        <w:t xml:space="preserve"> europeos</w:t>
      </w:r>
      <w:r w:rsidRPr="003069A9">
        <w:rPr>
          <w:color w:val="auto"/>
        </w:rPr>
        <w:t xml:space="preserve">. </w:t>
      </w:r>
      <w:r w:rsidRPr="003069A9">
        <w:rPr>
          <w:i w:val="0"/>
          <w:color w:val="auto"/>
        </w:rPr>
        <w:t xml:space="preserve"> </w:t>
      </w:r>
    </w:p>
    <w:p w:rsidR="009F70B5" w:rsidRPr="003069A9" w:rsidRDefault="0000626D" w:rsidP="003069A9">
      <w:pPr>
        <w:numPr>
          <w:ilvl w:val="0"/>
          <w:numId w:val="6"/>
        </w:numPr>
        <w:spacing w:line="276" w:lineRule="auto"/>
        <w:ind w:hanging="358"/>
        <w:rPr>
          <w:color w:val="auto"/>
        </w:rPr>
      </w:pPr>
      <w:r w:rsidRPr="003069A9">
        <w:rPr>
          <w:color w:val="auto"/>
        </w:rPr>
        <w:t xml:space="preserve">La política europea de vecindad I: la dimensión meridional. </w:t>
      </w:r>
    </w:p>
    <w:p w:rsidR="00BB48CC" w:rsidRPr="003069A9" w:rsidRDefault="0000626D" w:rsidP="003069A9">
      <w:pPr>
        <w:numPr>
          <w:ilvl w:val="0"/>
          <w:numId w:val="6"/>
        </w:numPr>
        <w:spacing w:after="132" w:line="276" w:lineRule="auto"/>
        <w:ind w:hanging="358"/>
        <w:rPr>
          <w:color w:val="auto"/>
        </w:rPr>
      </w:pPr>
      <w:r w:rsidRPr="003069A9">
        <w:rPr>
          <w:color w:val="auto"/>
        </w:rPr>
        <w:t xml:space="preserve">La política europea de vecindad II: la dimensión oriental. </w:t>
      </w:r>
    </w:p>
    <w:p w:rsidR="00BB48CC" w:rsidRPr="003069A9" w:rsidRDefault="00BB48CC" w:rsidP="003069A9">
      <w:pPr>
        <w:numPr>
          <w:ilvl w:val="0"/>
          <w:numId w:val="6"/>
        </w:numPr>
        <w:spacing w:after="132" w:line="276" w:lineRule="auto"/>
        <w:ind w:hanging="358"/>
        <w:rPr>
          <w:color w:val="auto"/>
        </w:rPr>
      </w:pPr>
      <w:r w:rsidRPr="003069A9">
        <w:rPr>
          <w:color w:val="auto"/>
        </w:rPr>
        <w:t xml:space="preserve">Las regiones </w:t>
      </w:r>
      <w:proofErr w:type="spellStart"/>
      <w:r w:rsidRPr="003069A9">
        <w:rPr>
          <w:color w:val="auto"/>
        </w:rPr>
        <w:t>ultraperiféricas</w:t>
      </w:r>
      <w:proofErr w:type="spellEnd"/>
      <w:r w:rsidRPr="003069A9">
        <w:rPr>
          <w:color w:val="auto"/>
        </w:rPr>
        <w:t xml:space="preserve"> de la Unión Europea.  </w:t>
      </w:r>
    </w:p>
    <w:p w:rsidR="00C42350" w:rsidRPr="003069A9" w:rsidRDefault="00C42350" w:rsidP="003069A9">
      <w:pPr>
        <w:numPr>
          <w:ilvl w:val="0"/>
          <w:numId w:val="6"/>
        </w:numPr>
        <w:spacing w:line="276" w:lineRule="auto"/>
        <w:ind w:hanging="358"/>
        <w:rPr>
          <w:color w:val="auto"/>
        </w:rPr>
      </w:pPr>
      <w:r w:rsidRPr="003069A9">
        <w:rPr>
          <w:color w:val="auto"/>
        </w:rPr>
        <w:t xml:space="preserve">Las relaciones transatlánticas. </w:t>
      </w:r>
    </w:p>
    <w:p w:rsidR="00BB48CC" w:rsidRPr="003069A9" w:rsidRDefault="00BB48CC" w:rsidP="003069A9">
      <w:pPr>
        <w:numPr>
          <w:ilvl w:val="0"/>
          <w:numId w:val="6"/>
        </w:numPr>
        <w:spacing w:line="276" w:lineRule="auto"/>
        <w:ind w:hanging="358"/>
        <w:rPr>
          <w:color w:val="auto"/>
        </w:rPr>
      </w:pPr>
      <w:r w:rsidRPr="003069A9">
        <w:rPr>
          <w:color w:val="auto"/>
        </w:rPr>
        <w:t>Las relaciones UE-China.</w:t>
      </w:r>
    </w:p>
    <w:p w:rsidR="00BB48CC" w:rsidRPr="003069A9" w:rsidRDefault="00BB48CC" w:rsidP="003069A9">
      <w:pPr>
        <w:numPr>
          <w:ilvl w:val="0"/>
          <w:numId w:val="6"/>
        </w:numPr>
        <w:spacing w:line="276" w:lineRule="auto"/>
        <w:ind w:hanging="358"/>
        <w:rPr>
          <w:color w:val="auto"/>
        </w:rPr>
      </w:pPr>
      <w:r w:rsidRPr="003069A9">
        <w:rPr>
          <w:color w:val="auto"/>
        </w:rPr>
        <w:t xml:space="preserve">Las relaciones con América Latina y Caribe.  </w:t>
      </w:r>
    </w:p>
    <w:p w:rsidR="00BB48CC" w:rsidRPr="003069A9" w:rsidRDefault="00BB48CC" w:rsidP="003069A9">
      <w:pPr>
        <w:numPr>
          <w:ilvl w:val="0"/>
          <w:numId w:val="6"/>
        </w:numPr>
        <w:spacing w:line="276" w:lineRule="auto"/>
        <w:ind w:hanging="358"/>
        <w:rPr>
          <w:color w:val="auto"/>
        </w:rPr>
      </w:pPr>
      <w:r w:rsidRPr="003069A9">
        <w:rPr>
          <w:color w:val="auto"/>
        </w:rPr>
        <w:t xml:space="preserve">Las relaciones con Rusia y Asia Central.  </w:t>
      </w:r>
    </w:p>
    <w:p w:rsidR="009F70B5" w:rsidRPr="003069A9" w:rsidRDefault="0000626D" w:rsidP="003069A9">
      <w:pPr>
        <w:numPr>
          <w:ilvl w:val="0"/>
          <w:numId w:val="6"/>
        </w:numPr>
        <w:spacing w:line="276" w:lineRule="auto"/>
        <w:ind w:hanging="358"/>
        <w:rPr>
          <w:color w:val="auto"/>
        </w:rPr>
      </w:pPr>
      <w:r w:rsidRPr="003069A9">
        <w:rPr>
          <w:color w:val="auto"/>
        </w:rPr>
        <w:t xml:space="preserve">Las relaciones con África. Marcos de cooperación, estrategias regionales y diálogos formales.  </w:t>
      </w:r>
    </w:p>
    <w:p w:rsidR="00BB48CC" w:rsidRPr="003069A9" w:rsidRDefault="00BB48CC" w:rsidP="003069A9">
      <w:pPr>
        <w:numPr>
          <w:ilvl w:val="0"/>
          <w:numId w:val="6"/>
        </w:numPr>
        <w:spacing w:line="276" w:lineRule="auto"/>
        <w:ind w:hanging="358"/>
        <w:rPr>
          <w:color w:val="auto"/>
        </w:rPr>
      </w:pPr>
      <w:r w:rsidRPr="003069A9">
        <w:rPr>
          <w:color w:val="auto"/>
        </w:rPr>
        <w:t xml:space="preserve">Geopolítica del Magreb. </w:t>
      </w:r>
    </w:p>
    <w:p w:rsidR="00BB48CC" w:rsidRPr="003069A9" w:rsidRDefault="00BB48CC" w:rsidP="003069A9">
      <w:pPr>
        <w:numPr>
          <w:ilvl w:val="0"/>
          <w:numId w:val="6"/>
        </w:numPr>
        <w:spacing w:line="276" w:lineRule="auto"/>
        <w:ind w:hanging="358"/>
        <w:rPr>
          <w:color w:val="auto"/>
        </w:rPr>
      </w:pPr>
      <w:r w:rsidRPr="003069A9">
        <w:rPr>
          <w:color w:val="auto"/>
        </w:rPr>
        <w:lastRenderedPageBreak/>
        <w:t xml:space="preserve">Geopolítica en Oriente Próximo. </w:t>
      </w:r>
    </w:p>
    <w:p w:rsidR="00BB48CC" w:rsidRPr="003069A9" w:rsidRDefault="00BB48CC" w:rsidP="003069A9">
      <w:pPr>
        <w:numPr>
          <w:ilvl w:val="0"/>
          <w:numId w:val="6"/>
        </w:numPr>
        <w:spacing w:line="276" w:lineRule="auto"/>
        <w:ind w:hanging="358"/>
        <w:rPr>
          <w:color w:val="auto"/>
        </w:rPr>
      </w:pPr>
      <w:r w:rsidRPr="003069A9">
        <w:rPr>
          <w:color w:val="auto"/>
        </w:rPr>
        <w:t xml:space="preserve">La UE y la geopolítica de las monarquías del Golfo. </w:t>
      </w:r>
    </w:p>
    <w:p w:rsidR="00397C3A" w:rsidRPr="003069A9" w:rsidRDefault="00E74195" w:rsidP="003069A9">
      <w:pPr>
        <w:numPr>
          <w:ilvl w:val="0"/>
          <w:numId w:val="6"/>
        </w:numPr>
        <w:spacing w:line="276" w:lineRule="auto"/>
        <w:ind w:hanging="358"/>
        <w:rPr>
          <w:color w:val="auto"/>
        </w:rPr>
      </w:pPr>
      <w:r w:rsidRPr="003069A9">
        <w:rPr>
          <w:color w:val="auto"/>
        </w:rPr>
        <w:t xml:space="preserve">La guerra en Ucrania. Implicaciones para la Unión Europea.  </w:t>
      </w:r>
    </w:p>
    <w:p w:rsidR="00397C3A" w:rsidRPr="003069A9" w:rsidRDefault="00397C3A" w:rsidP="003069A9">
      <w:pPr>
        <w:numPr>
          <w:ilvl w:val="0"/>
          <w:numId w:val="6"/>
        </w:numPr>
        <w:spacing w:line="276" w:lineRule="auto"/>
        <w:ind w:hanging="358"/>
        <w:rPr>
          <w:color w:val="auto"/>
        </w:rPr>
      </w:pPr>
      <w:r w:rsidRPr="003069A9">
        <w:rPr>
          <w:color w:val="auto"/>
        </w:rPr>
        <w:t xml:space="preserve">La nueva relación entre la Unión Europea y Reino Unido tras su retirada de la Unión. </w:t>
      </w:r>
    </w:p>
    <w:p w:rsidR="00E0404A" w:rsidRPr="003069A9" w:rsidRDefault="00E0404A" w:rsidP="003069A9">
      <w:pPr>
        <w:spacing w:line="276" w:lineRule="auto"/>
        <w:ind w:left="641" w:firstLine="0"/>
        <w:rPr>
          <w:color w:val="auto"/>
        </w:rPr>
      </w:pPr>
    </w:p>
    <w:p w:rsidR="009F70B5" w:rsidRPr="003069A9" w:rsidRDefault="0000626D" w:rsidP="003069A9">
      <w:pPr>
        <w:pStyle w:val="Ttulo1"/>
        <w:spacing w:line="276" w:lineRule="auto"/>
        <w:ind w:left="254" w:hanging="269"/>
        <w:jc w:val="both"/>
        <w:rPr>
          <w:color w:val="auto"/>
        </w:rPr>
      </w:pPr>
      <w:r w:rsidRPr="003069A9">
        <w:rPr>
          <w:color w:val="auto"/>
        </w:rPr>
        <w:t>ESPAÑA EN LA UNIÓN EUROPEA</w:t>
      </w:r>
      <w:r w:rsidRPr="003069A9">
        <w:rPr>
          <w:color w:val="auto"/>
          <w:u w:val="none"/>
        </w:rPr>
        <w:t xml:space="preserve"> </w:t>
      </w:r>
    </w:p>
    <w:p w:rsidR="009F70B5" w:rsidRPr="003069A9" w:rsidRDefault="0000626D" w:rsidP="003069A9">
      <w:pPr>
        <w:spacing w:after="114" w:line="276" w:lineRule="auto"/>
        <w:ind w:left="0" w:firstLine="0"/>
        <w:rPr>
          <w:color w:val="auto"/>
        </w:rPr>
      </w:pPr>
      <w:r w:rsidRPr="003069A9">
        <w:rPr>
          <w:b/>
          <w:i w:val="0"/>
          <w:color w:val="auto"/>
        </w:rPr>
        <w:t xml:space="preserve"> </w:t>
      </w:r>
    </w:p>
    <w:p w:rsidR="007E75B3" w:rsidRPr="003069A9" w:rsidRDefault="007E75B3" w:rsidP="003069A9">
      <w:pPr>
        <w:numPr>
          <w:ilvl w:val="0"/>
          <w:numId w:val="7"/>
        </w:numPr>
        <w:spacing w:line="276" w:lineRule="auto"/>
        <w:ind w:hanging="415"/>
        <w:rPr>
          <w:color w:val="auto"/>
        </w:rPr>
      </w:pPr>
      <w:r w:rsidRPr="003069A9">
        <w:rPr>
          <w:color w:val="auto"/>
        </w:rPr>
        <w:t>Las relaciones bilaterales de España en el marco de la UE</w:t>
      </w:r>
    </w:p>
    <w:p w:rsidR="00397C3A" w:rsidRPr="003069A9" w:rsidRDefault="007E75B3" w:rsidP="003069A9">
      <w:pPr>
        <w:numPr>
          <w:ilvl w:val="0"/>
          <w:numId w:val="7"/>
        </w:numPr>
        <w:spacing w:line="276" w:lineRule="auto"/>
        <w:ind w:hanging="415"/>
        <w:rPr>
          <w:color w:val="auto"/>
        </w:rPr>
      </w:pPr>
      <w:r w:rsidRPr="003069A9">
        <w:rPr>
          <w:color w:val="auto"/>
        </w:rPr>
        <w:t>La defensa de los intereses de España en COREPER I</w:t>
      </w:r>
      <w:r w:rsidR="00397C3A" w:rsidRPr="003069A9">
        <w:rPr>
          <w:color w:val="auto"/>
        </w:rPr>
        <w:t xml:space="preserve"> y COREPER II </w:t>
      </w:r>
    </w:p>
    <w:p w:rsidR="009F70B5" w:rsidRPr="003069A9" w:rsidRDefault="0000626D" w:rsidP="003069A9">
      <w:pPr>
        <w:numPr>
          <w:ilvl w:val="0"/>
          <w:numId w:val="7"/>
        </w:numPr>
        <w:spacing w:line="276" w:lineRule="auto"/>
        <w:ind w:hanging="415"/>
        <w:rPr>
          <w:color w:val="auto"/>
        </w:rPr>
      </w:pPr>
      <w:r w:rsidRPr="003069A9">
        <w:rPr>
          <w:color w:val="auto"/>
        </w:rPr>
        <w:t xml:space="preserve">El Parlamento español ante la Unión Europea.  </w:t>
      </w:r>
    </w:p>
    <w:p w:rsidR="009F70B5" w:rsidRPr="003069A9" w:rsidRDefault="0000626D" w:rsidP="003069A9">
      <w:pPr>
        <w:numPr>
          <w:ilvl w:val="0"/>
          <w:numId w:val="7"/>
        </w:numPr>
        <w:spacing w:line="276" w:lineRule="auto"/>
        <w:ind w:hanging="415"/>
        <w:rPr>
          <w:color w:val="auto"/>
        </w:rPr>
      </w:pPr>
      <w:r w:rsidRPr="003069A9">
        <w:rPr>
          <w:color w:val="auto"/>
        </w:rPr>
        <w:t xml:space="preserve">Las Comunidades Autónomas ante la Unión Europea.  </w:t>
      </w:r>
    </w:p>
    <w:p w:rsidR="00BB48CC" w:rsidRPr="003069A9" w:rsidRDefault="0000626D" w:rsidP="003069A9">
      <w:pPr>
        <w:numPr>
          <w:ilvl w:val="0"/>
          <w:numId w:val="7"/>
        </w:numPr>
        <w:spacing w:line="276" w:lineRule="auto"/>
        <w:ind w:hanging="415"/>
        <w:rPr>
          <w:color w:val="auto"/>
        </w:rPr>
      </w:pPr>
      <w:r w:rsidRPr="003069A9">
        <w:rPr>
          <w:color w:val="auto"/>
        </w:rPr>
        <w:t xml:space="preserve">Experiencias de un antiguo Embajador Representante Permanente ante la Unión Europea.  </w:t>
      </w:r>
    </w:p>
    <w:p w:rsidR="00BB48CC" w:rsidRPr="003069A9" w:rsidRDefault="00BB48CC" w:rsidP="003069A9">
      <w:pPr>
        <w:numPr>
          <w:ilvl w:val="0"/>
          <w:numId w:val="7"/>
        </w:numPr>
        <w:spacing w:line="276" w:lineRule="auto"/>
        <w:ind w:hanging="415"/>
        <w:rPr>
          <w:color w:val="auto"/>
        </w:rPr>
      </w:pPr>
      <w:r w:rsidRPr="003069A9">
        <w:rPr>
          <w:color w:val="auto"/>
        </w:rPr>
        <w:t xml:space="preserve">Oportunidades laborales en las instituciones europeas.  </w:t>
      </w:r>
    </w:p>
    <w:p w:rsidR="007E75B3" w:rsidRPr="003069A9" w:rsidRDefault="007E75B3" w:rsidP="003069A9">
      <w:pPr>
        <w:spacing w:line="276" w:lineRule="auto"/>
        <w:rPr>
          <w:color w:val="auto"/>
        </w:rPr>
      </w:pPr>
    </w:p>
    <w:p w:rsidR="009F70B5" w:rsidRPr="003069A9" w:rsidRDefault="0000626D" w:rsidP="003069A9">
      <w:pPr>
        <w:pStyle w:val="Ttulo1"/>
        <w:spacing w:line="276" w:lineRule="auto"/>
        <w:ind w:left="340" w:hanging="355"/>
        <w:jc w:val="both"/>
        <w:rPr>
          <w:color w:val="auto"/>
        </w:rPr>
      </w:pPr>
      <w:r w:rsidRPr="003069A9">
        <w:rPr>
          <w:color w:val="auto"/>
        </w:rPr>
        <w:t>LOS RETOS ACTUALES DE LA UNIÓN</w:t>
      </w:r>
      <w:r w:rsidRPr="003069A9">
        <w:rPr>
          <w:color w:val="auto"/>
          <w:u w:val="none"/>
        </w:rPr>
        <w:t xml:space="preserve"> </w:t>
      </w:r>
    </w:p>
    <w:p w:rsidR="009F70B5" w:rsidRPr="003069A9" w:rsidRDefault="0000626D" w:rsidP="003069A9">
      <w:pPr>
        <w:spacing w:after="113" w:line="276" w:lineRule="auto"/>
        <w:ind w:left="0" w:firstLine="0"/>
        <w:rPr>
          <w:color w:val="auto"/>
        </w:rPr>
      </w:pPr>
      <w:r w:rsidRPr="003069A9">
        <w:rPr>
          <w:b/>
          <w:i w:val="0"/>
          <w:color w:val="auto"/>
        </w:rPr>
        <w:t xml:space="preserve"> </w:t>
      </w:r>
    </w:p>
    <w:p w:rsidR="000A1D51" w:rsidRPr="003069A9" w:rsidRDefault="000A1D51" w:rsidP="003069A9">
      <w:pPr>
        <w:numPr>
          <w:ilvl w:val="0"/>
          <w:numId w:val="8"/>
        </w:numPr>
        <w:spacing w:after="132" w:line="276" w:lineRule="auto"/>
        <w:ind w:hanging="360"/>
        <w:rPr>
          <w:color w:val="auto"/>
        </w:rPr>
      </w:pPr>
      <w:r w:rsidRPr="003069A9">
        <w:rPr>
          <w:color w:val="auto"/>
        </w:rPr>
        <w:t xml:space="preserve">Grandes tendencias geopolíticas y geoeconómicas: prospectiva desde la UE. </w:t>
      </w:r>
    </w:p>
    <w:p w:rsidR="009F70B5" w:rsidRPr="003069A9" w:rsidRDefault="00397C3A" w:rsidP="003069A9">
      <w:pPr>
        <w:numPr>
          <w:ilvl w:val="0"/>
          <w:numId w:val="8"/>
        </w:numPr>
        <w:spacing w:line="276" w:lineRule="auto"/>
        <w:ind w:hanging="360"/>
        <w:rPr>
          <w:strike/>
          <w:color w:val="auto"/>
        </w:rPr>
      </w:pPr>
      <w:r w:rsidRPr="003069A9">
        <w:rPr>
          <w:color w:val="auto"/>
        </w:rPr>
        <w:t xml:space="preserve">La política de ampliación de la UE. </w:t>
      </w:r>
    </w:p>
    <w:p w:rsidR="000A1D51" w:rsidRPr="003069A9" w:rsidRDefault="000A1D51" w:rsidP="003069A9">
      <w:pPr>
        <w:numPr>
          <w:ilvl w:val="0"/>
          <w:numId w:val="8"/>
        </w:numPr>
        <w:spacing w:line="276" w:lineRule="auto"/>
        <w:ind w:hanging="360"/>
        <w:rPr>
          <w:color w:val="auto"/>
        </w:rPr>
      </w:pPr>
      <w:r w:rsidRPr="003069A9">
        <w:rPr>
          <w:color w:val="auto"/>
        </w:rPr>
        <w:t xml:space="preserve">Comparación del sistema de partidos en Europa. Movimientos populistas, riesgo político en la UE hoy. </w:t>
      </w:r>
    </w:p>
    <w:p w:rsidR="000A1D51" w:rsidRPr="003069A9" w:rsidRDefault="000A1D51" w:rsidP="003069A9">
      <w:pPr>
        <w:numPr>
          <w:ilvl w:val="0"/>
          <w:numId w:val="8"/>
        </w:numPr>
        <w:spacing w:line="276" w:lineRule="auto"/>
        <w:ind w:hanging="360"/>
        <w:rPr>
          <w:color w:val="auto"/>
        </w:rPr>
      </w:pPr>
      <w:r w:rsidRPr="003069A9">
        <w:rPr>
          <w:color w:val="auto"/>
        </w:rPr>
        <w:t>La política de comunicación de la UE: ¿hacia una esfera pública común en tiempos de desinformación?</w:t>
      </w:r>
    </w:p>
    <w:p w:rsidR="000A1D51" w:rsidRPr="003069A9" w:rsidRDefault="000A1D51" w:rsidP="003069A9">
      <w:pPr>
        <w:numPr>
          <w:ilvl w:val="0"/>
          <w:numId w:val="8"/>
        </w:numPr>
        <w:spacing w:line="276" w:lineRule="auto"/>
        <w:ind w:hanging="360"/>
        <w:rPr>
          <w:color w:val="auto"/>
        </w:rPr>
      </w:pPr>
      <w:r w:rsidRPr="003069A9">
        <w:rPr>
          <w:color w:val="auto"/>
        </w:rPr>
        <w:t xml:space="preserve">La cobertura periodística de las instituciones europeas.  </w:t>
      </w:r>
    </w:p>
    <w:p w:rsidR="009F70B5" w:rsidRPr="003069A9" w:rsidRDefault="007E75B3" w:rsidP="003069A9">
      <w:pPr>
        <w:numPr>
          <w:ilvl w:val="0"/>
          <w:numId w:val="8"/>
        </w:numPr>
        <w:spacing w:line="276" w:lineRule="auto"/>
        <w:ind w:hanging="360"/>
        <w:rPr>
          <w:color w:val="auto"/>
        </w:rPr>
      </w:pPr>
      <w:r w:rsidRPr="003069A9">
        <w:rPr>
          <w:color w:val="auto"/>
        </w:rPr>
        <w:t>¿Qué significa influir en la Unión Europea?</w:t>
      </w:r>
      <w:r w:rsidR="0000626D" w:rsidRPr="003069A9">
        <w:rPr>
          <w:color w:val="auto"/>
        </w:rPr>
        <w:t xml:space="preserve"> </w:t>
      </w:r>
    </w:p>
    <w:p w:rsidR="00C42350" w:rsidRPr="003069A9" w:rsidRDefault="00C42350" w:rsidP="003069A9">
      <w:pPr>
        <w:numPr>
          <w:ilvl w:val="0"/>
          <w:numId w:val="8"/>
        </w:numPr>
        <w:spacing w:line="276" w:lineRule="auto"/>
        <w:ind w:hanging="360"/>
        <w:rPr>
          <w:color w:val="auto"/>
        </w:rPr>
      </w:pPr>
      <w:r w:rsidRPr="003069A9">
        <w:rPr>
          <w:color w:val="auto"/>
        </w:rPr>
        <w:t xml:space="preserve">Inteligencia en la UE. </w:t>
      </w:r>
    </w:p>
    <w:p w:rsidR="00C42350" w:rsidRPr="003069A9" w:rsidRDefault="00C42350" w:rsidP="003069A9">
      <w:pPr>
        <w:numPr>
          <w:ilvl w:val="0"/>
          <w:numId w:val="8"/>
        </w:numPr>
        <w:spacing w:line="276" w:lineRule="auto"/>
        <w:ind w:hanging="360"/>
        <w:rPr>
          <w:color w:val="auto"/>
        </w:rPr>
      </w:pPr>
      <w:r w:rsidRPr="003069A9">
        <w:rPr>
          <w:color w:val="auto"/>
        </w:rPr>
        <w:t xml:space="preserve">Cultura en la UE. </w:t>
      </w:r>
    </w:p>
    <w:p w:rsidR="00C42350" w:rsidRPr="003069A9" w:rsidRDefault="00C42350" w:rsidP="003069A9">
      <w:pPr>
        <w:numPr>
          <w:ilvl w:val="0"/>
          <w:numId w:val="8"/>
        </w:numPr>
        <w:spacing w:line="276" w:lineRule="auto"/>
        <w:ind w:hanging="360"/>
        <w:rPr>
          <w:color w:val="auto"/>
        </w:rPr>
      </w:pPr>
      <w:r w:rsidRPr="003069A9">
        <w:rPr>
          <w:color w:val="auto"/>
        </w:rPr>
        <w:t>Empresa y UE</w:t>
      </w:r>
    </w:p>
    <w:p w:rsidR="009F70B5" w:rsidRPr="003069A9" w:rsidRDefault="009F70B5" w:rsidP="003069A9">
      <w:pPr>
        <w:spacing w:after="96" w:line="276" w:lineRule="auto"/>
        <w:ind w:left="0" w:firstLine="0"/>
        <w:rPr>
          <w:color w:val="auto"/>
        </w:rPr>
      </w:pPr>
    </w:p>
    <w:p w:rsidR="009F70B5" w:rsidRPr="003069A9" w:rsidRDefault="0000626D" w:rsidP="003069A9">
      <w:pPr>
        <w:spacing w:after="0" w:line="276" w:lineRule="auto"/>
        <w:ind w:left="0" w:firstLine="0"/>
        <w:rPr>
          <w:color w:val="auto"/>
        </w:rPr>
      </w:pPr>
      <w:r w:rsidRPr="003069A9">
        <w:rPr>
          <w:b/>
          <w:i w:val="0"/>
          <w:color w:val="auto"/>
          <w:u w:val="single" w:color="000000"/>
        </w:rPr>
        <w:t>NOTA INFORMATIVA:</w:t>
      </w:r>
      <w:r w:rsidRPr="003069A9">
        <w:rPr>
          <w:i w:val="0"/>
          <w:color w:val="auto"/>
        </w:rPr>
        <w:t xml:space="preserve"> el orden y título de las sesiones po</w:t>
      </w:r>
      <w:bookmarkStart w:id="0" w:name="_GoBack"/>
      <w:bookmarkEnd w:id="0"/>
      <w:r w:rsidRPr="003069A9">
        <w:rPr>
          <w:i w:val="0"/>
          <w:color w:val="auto"/>
        </w:rPr>
        <w:t xml:space="preserve">drán estar sujetos a cambios. </w:t>
      </w:r>
    </w:p>
    <w:sectPr w:rsidR="009F70B5" w:rsidRPr="003069A9" w:rsidSect="00C42350">
      <w:headerReference w:type="even" r:id="rId7"/>
      <w:headerReference w:type="default" r:id="rId8"/>
      <w:footerReference w:type="even" r:id="rId9"/>
      <w:footerReference w:type="default" r:id="rId10"/>
      <w:headerReference w:type="first" r:id="rId11"/>
      <w:footerReference w:type="first" r:id="rId12"/>
      <w:pgSz w:w="11906" w:h="16838"/>
      <w:pgMar w:top="3089" w:right="1416" w:bottom="1431" w:left="1702" w:header="1016" w:footer="5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E53" w:rsidRDefault="000B0E53">
      <w:pPr>
        <w:spacing w:after="0" w:line="240" w:lineRule="auto"/>
      </w:pPr>
      <w:r>
        <w:separator/>
      </w:r>
    </w:p>
  </w:endnote>
  <w:endnote w:type="continuationSeparator" w:id="0">
    <w:p w:rsidR="000B0E53" w:rsidRDefault="000B0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0B5" w:rsidRDefault="0000626D">
    <w:pPr>
      <w:spacing w:after="411" w:line="259" w:lineRule="auto"/>
      <w:ind w:left="708" w:firstLine="0"/>
      <w:jc w:val="left"/>
    </w:pPr>
    <w:r>
      <w:rPr>
        <w:i w:val="0"/>
        <w:sz w:val="20"/>
      </w:rPr>
      <w:t xml:space="preserve"> </w:t>
    </w:r>
  </w:p>
  <w:p w:rsidR="009F70B5" w:rsidRDefault="0000626D">
    <w:pPr>
      <w:spacing w:after="0" w:line="259" w:lineRule="auto"/>
      <w:ind w:left="0" w:right="1261" w:firstLine="0"/>
      <w:jc w:val="right"/>
    </w:pPr>
    <w:r>
      <w:fldChar w:fldCharType="begin"/>
    </w:r>
    <w:r>
      <w:instrText xml:space="preserve"> PAGE   \* MERGEFORMAT </w:instrText>
    </w:r>
    <w:r>
      <w:fldChar w:fldCharType="separate"/>
    </w:r>
    <w:r>
      <w:rPr>
        <w:i w:val="0"/>
        <w:sz w:val="20"/>
      </w:rPr>
      <w:t>1</w:t>
    </w:r>
    <w:r>
      <w:rPr>
        <w:i w:val="0"/>
        <w:sz w:val="20"/>
      </w:rPr>
      <w:fldChar w:fldCharType="end"/>
    </w:r>
    <w:r>
      <w:rPr>
        <w:i w:val="0"/>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0B5" w:rsidRDefault="0000626D">
    <w:pPr>
      <w:spacing w:after="411" w:line="259" w:lineRule="auto"/>
      <w:ind w:left="708" w:firstLine="0"/>
      <w:jc w:val="left"/>
    </w:pPr>
    <w:r>
      <w:rPr>
        <w:i w:val="0"/>
        <w:sz w:val="20"/>
      </w:rPr>
      <w:t xml:space="preserve"> </w:t>
    </w:r>
  </w:p>
  <w:p w:rsidR="009F70B5" w:rsidRDefault="0000626D">
    <w:pPr>
      <w:spacing w:after="0" w:line="259" w:lineRule="auto"/>
      <w:ind w:left="0" w:right="1261" w:firstLine="0"/>
      <w:jc w:val="right"/>
    </w:pPr>
    <w:r>
      <w:fldChar w:fldCharType="begin"/>
    </w:r>
    <w:r>
      <w:instrText xml:space="preserve"> PAGE   \* MERGEFORMAT </w:instrText>
    </w:r>
    <w:r>
      <w:fldChar w:fldCharType="separate"/>
    </w:r>
    <w:r w:rsidR="003069A9" w:rsidRPr="003069A9">
      <w:rPr>
        <w:i w:val="0"/>
        <w:noProof/>
        <w:sz w:val="20"/>
      </w:rPr>
      <w:t>4</w:t>
    </w:r>
    <w:r>
      <w:rPr>
        <w:i w:val="0"/>
        <w:sz w:val="20"/>
      </w:rPr>
      <w:fldChar w:fldCharType="end"/>
    </w:r>
    <w:r>
      <w:rPr>
        <w:i w:val="0"/>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0B5" w:rsidRDefault="0000626D">
    <w:pPr>
      <w:spacing w:after="411" w:line="259" w:lineRule="auto"/>
      <w:ind w:left="708" w:firstLine="0"/>
      <w:jc w:val="left"/>
    </w:pPr>
    <w:r>
      <w:rPr>
        <w:i w:val="0"/>
        <w:sz w:val="20"/>
      </w:rPr>
      <w:t xml:space="preserve"> </w:t>
    </w:r>
  </w:p>
  <w:p w:rsidR="009F70B5" w:rsidRDefault="0000626D">
    <w:pPr>
      <w:spacing w:after="0" w:line="259" w:lineRule="auto"/>
      <w:ind w:left="0" w:right="1261" w:firstLine="0"/>
      <w:jc w:val="right"/>
    </w:pPr>
    <w:r>
      <w:fldChar w:fldCharType="begin"/>
    </w:r>
    <w:r>
      <w:instrText xml:space="preserve"> PAGE   \* MERGEFORMAT </w:instrText>
    </w:r>
    <w:r>
      <w:fldChar w:fldCharType="separate"/>
    </w:r>
    <w:r>
      <w:rPr>
        <w:i w:val="0"/>
        <w:sz w:val="20"/>
      </w:rPr>
      <w:t>1</w:t>
    </w:r>
    <w:r>
      <w:rPr>
        <w:i w:val="0"/>
        <w:sz w:val="20"/>
      </w:rPr>
      <w:fldChar w:fldCharType="end"/>
    </w:r>
    <w:r>
      <w:rPr>
        <w:i w:val="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E53" w:rsidRDefault="000B0E53">
      <w:pPr>
        <w:spacing w:after="0" w:line="240" w:lineRule="auto"/>
      </w:pPr>
      <w:r>
        <w:separator/>
      </w:r>
    </w:p>
  </w:footnote>
  <w:footnote w:type="continuationSeparator" w:id="0">
    <w:p w:rsidR="000B0E53" w:rsidRDefault="000B0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8134" w:tblpY="1266"/>
      <w:tblOverlap w:val="never"/>
      <w:tblW w:w="2414" w:type="dxa"/>
      <w:tblInd w:w="0" w:type="dxa"/>
      <w:tblCellMar>
        <w:left w:w="182" w:type="dxa"/>
        <w:right w:w="115" w:type="dxa"/>
      </w:tblCellMar>
      <w:tblLook w:val="04A0" w:firstRow="1" w:lastRow="0" w:firstColumn="1" w:lastColumn="0" w:noHBand="0" w:noVBand="1"/>
    </w:tblPr>
    <w:tblGrid>
      <w:gridCol w:w="2414"/>
    </w:tblGrid>
    <w:tr w:rsidR="009F70B5">
      <w:trPr>
        <w:trHeight w:val="764"/>
      </w:trPr>
      <w:tc>
        <w:tcPr>
          <w:tcW w:w="2414" w:type="dxa"/>
          <w:tcBorders>
            <w:top w:val="single" w:sz="6" w:space="0" w:color="000000"/>
            <w:left w:val="single" w:sz="6" w:space="0" w:color="000000"/>
            <w:bottom w:val="single" w:sz="6" w:space="0" w:color="000000"/>
            <w:right w:val="single" w:sz="6" w:space="0" w:color="000000"/>
          </w:tcBorders>
          <w:vAlign w:val="center"/>
        </w:tcPr>
        <w:p w:rsidR="009F70B5" w:rsidRDefault="0000626D">
          <w:pPr>
            <w:spacing w:after="0" w:line="259" w:lineRule="auto"/>
            <w:ind w:left="0" w:firstLine="0"/>
            <w:jc w:val="left"/>
          </w:pPr>
          <w:r>
            <w:rPr>
              <w:rFonts w:ascii="Arial" w:eastAsia="Arial" w:hAnsi="Arial" w:cs="Arial"/>
              <w:i w:val="0"/>
              <w:sz w:val="16"/>
            </w:rPr>
            <w:t>SECRETARÍA DE ESTADO PARA LA UNIÓN EUROPEA</w:t>
          </w:r>
          <w:r>
            <w:rPr>
              <w:i w:val="0"/>
              <w:sz w:val="20"/>
            </w:rPr>
            <w:t xml:space="preserve"> </w:t>
          </w:r>
        </w:p>
      </w:tc>
    </w:tr>
  </w:tbl>
  <w:p w:rsidR="009F70B5" w:rsidRDefault="0000626D">
    <w:pPr>
      <w:spacing w:after="0" w:line="236" w:lineRule="auto"/>
      <w:ind w:left="-1399" w:right="436" w:firstLine="0"/>
      <w:jc w:val="left"/>
    </w:pPr>
    <w:r>
      <w:rPr>
        <w:noProof/>
      </w:rPr>
      <w:drawing>
        <wp:anchor distT="0" distB="0" distL="114300" distR="114300" simplePos="0" relativeHeight="251658240" behindDoc="0" locked="0" layoutInCell="1" allowOverlap="0">
          <wp:simplePos x="0" y="0"/>
          <wp:positionH relativeFrom="page">
            <wp:posOffset>579933</wp:posOffset>
          </wp:positionH>
          <wp:positionV relativeFrom="page">
            <wp:posOffset>805295</wp:posOffset>
          </wp:positionV>
          <wp:extent cx="834029" cy="858649"/>
          <wp:effectExtent l="0" t="0" r="0" b="0"/>
          <wp:wrapSquare wrapText="bothSides"/>
          <wp:docPr id="12"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834029" cy="858649"/>
                  </a:xfrm>
                  <a:prstGeom prst="rect">
                    <a:avLst/>
                  </a:prstGeom>
                </pic:spPr>
              </pic:pic>
            </a:graphicData>
          </a:graphic>
        </wp:anchor>
      </w:drawing>
    </w:r>
    <w:r>
      <w:rPr>
        <w:i w:val="0"/>
        <w:sz w:val="16"/>
      </w:rPr>
      <w:t xml:space="preserve"> </w:t>
    </w:r>
    <w:r>
      <w:rPr>
        <w:i w:val="0"/>
        <w:sz w:val="20"/>
      </w:rPr>
      <w:t xml:space="preserve"> </w:t>
    </w:r>
    <w:r>
      <w:rPr>
        <w:i w:val="0"/>
        <w:sz w:val="20"/>
      </w:rPr>
      <w:tab/>
      <w:t xml:space="preserve"> </w:t>
    </w:r>
  </w:p>
  <w:p w:rsidR="009F70B5" w:rsidRDefault="0000626D">
    <w:pPr>
      <w:spacing w:after="69" w:line="259" w:lineRule="auto"/>
      <w:ind w:left="0" w:right="436" w:firstLine="0"/>
      <w:jc w:val="left"/>
    </w:pPr>
    <w:r>
      <w:rPr>
        <w:i w:val="0"/>
        <w:sz w:val="20"/>
      </w:rPr>
      <w:t xml:space="preserve"> </w:t>
    </w:r>
  </w:p>
  <w:p w:rsidR="009F70B5" w:rsidRDefault="0000626D">
    <w:pPr>
      <w:spacing w:after="0" w:line="259" w:lineRule="auto"/>
      <w:ind w:left="647" w:right="436" w:firstLine="0"/>
      <w:jc w:val="left"/>
    </w:pPr>
    <w:r>
      <w:rPr>
        <w:rFonts w:ascii="Arial" w:eastAsia="Arial" w:hAnsi="Arial" w:cs="Arial"/>
        <w:i w:val="0"/>
        <w:sz w:val="18"/>
      </w:rPr>
      <w:t xml:space="preserve">MINISTERIO  </w:t>
    </w:r>
  </w:p>
  <w:p w:rsidR="009F70B5" w:rsidRDefault="0000626D">
    <w:pPr>
      <w:spacing w:after="0" w:line="259" w:lineRule="auto"/>
      <w:ind w:left="647" w:right="436" w:firstLine="0"/>
      <w:jc w:val="left"/>
    </w:pPr>
    <w:r>
      <w:rPr>
        <w:rFonts w:ascii="Arial" w:eastAsia="Arial" w:hAnsi="Arial" w:cs="Arial"/>
        <w:i w:val="0"/>
        <w:sz w:val="18"/>
      </w:rPr>
      <w:t xml:space="preserve">DE ASUNTOS EXTERIORES, UNIÓN EUROPEA </w:t>
    </w:r>
  </w:p>
  <w:p w:rsidR="009F70B5" w:rsidRDefault="0000626D">
    <w:pPr>
      <w:spacing w:after="0" w:line="259" w:lineRule="auto"/>
      <w:ind w:left="647" w:firstLine="0"/>
      <w:jc w:val="left"/>
    </w:pPr>
    <w:r>
      <w:rPr>
        <w:rFonts w:ascii="Arial" w:eastAsia="Arial" w:hAnsi="Arial" w:cs="Arial"/>
        <w:i w:val="0"/>
        <w:sz w:val="18"/>
      </w:rPr>
      <w:t>Y COOPERACIÓN</w:t>
    </w:r>
    <w:r>
      <w:rPr>
        <w:i w:val="0"/>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8134" w:tblpY="1266"/>
      <w:tblOverlap w:val="never"/>
      <w:tblW w:w="2414" w:type="dxa"/>
      <w:tblInd w:w="0" w:type="dxa"/>
      <w:tblCellMar>
        <w:left w:w="182" w:type="dxa"/>
        <w:right w:w="115" w:type="dxa"/>
      </w:tblCellMar>
      <w:tblLook w:val="04A0" w:firstRow="1" w:lastRow="0" w:firstColumn="1" w:lastColumn="0" w:noHBand="0" w:noVBand="1"/>
    </w:tblPr>
    <w:tblGrid>
      <w:gridCol w:w="2414"/>
    </w:tblGrid>
    <w:tr w:rsidR="009F70B5">
      <w:trPr>
        <w:trHeight w:val="764"/>
      </w:trPr>
      <w:tc>
        <w:tcPr>
          <w:tcW w:w="2414" w:type="dxa"/>
          <w:tcBorders>
            <w:top w:val="single" w:sz="6" w:space="0" w:color="000000"/>
            <w:left w:val="single" w:sz="6" w:space="0" w:color="000000"/>
            <w:bottom w:val="single" w:sz="6" w:space="0" w:color="000000"/>
            <w:right w:val="single" w:sz="6" w:space="0" w:color="000000"/>
          </w:tcBorders>
          <w:vAlign w:val="center"/>
        </w:tcPr>
        <w:p w:rsidR="009F70B5" w:rsidRDefault="0000626D">
          <w:pPr>
            <w:spacing w:after="0" w:line="259" w:lineRule="auto"/>
            <w:ind w:left="0" w:firstLine="0"/>
            <w:jc w:val="left"/>
          </w:pPr>
          <w:r>
            <w:rPr>
              <w:rFonts w:ascii="Arial" w:eastAsia="Arial" w:hAnsi="Arial" w:cs="Arial"/>
              <w:i w:val="0"/>
              <w:sz w:val="16"/>
            </w:rPr>
            <w:t>SECRETARÍA DE ESTADO PARA LA UNIÓN EUROPEA</w:t>
          </w:r>
          <w:r>
            <w:rPr>
              <w:i w:val="0"/>
              <w:sz w:val="20"/>
            </w:rPr>
            <w:t xml:space="preserve"> </w:t>
          </w:r>
        </w:p>
      </w:tc>
    </w:tr>
  </w:tbl>
  <w:p w:rsidR="009F70B5" w:rsidRDefault="0000626D">
    <w:pPr>
      <w:spacing w:after="0" w:line="236" w:lineRule="auto"/>
      <w:ind w:left="-1399" w:right="436" w:firstLine="0"/>
      <w:jc w:val="left"/>
    </w:pPr>
    <w:r>
      <w:rPr>
        <w:noProof/>
      </w:rPr>
      <w:drawing>
        <wp:anchor distT="0" distB="0" distL="114300" distR="114300" simplePos="0" relativeHeight="251659264" behindDoc="0" locked="0" layoutInCell="1" allowOverlap="0">
          <wp:simplePos x="0" y="0"/>
          <wp:positionH relativeFrom="page">
            <wp:posOffset>1208405</wp:posOffset>
          </wp:positionH>
          <wp:positionV relativeFrom="page">
            <wp:posOffset>652780</wp:posOffset>
          </wp:positionV>
          <wp:extent cx="834029" cy="858649"/>
          <wp:effectExtent l="0" t="0" r="0" b="0"/>
          <wp:wrapSquare wrapText="bothSides"/>
          <wp:docPr id="13"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834029" cy="858649"/>
                  </a:xfrm>
                  <a:prstGeom prst="rect">
                    <a:avLst/>
                  </a:prstGeom>
                </pic:spPr>
              </pic:pic>
            </a:graphicData>
          </a:graphic>
        </wp:anchor>
      </w:drawing>
    </w:r>
    <w:r>
      <w:rPr>
        <w:i w:val="0"/>
        <w:sz w:val="16"/>
      </w:rPr>
      <w:t xml:space="preserve"> </w:t>
    </w:r>
    <w:r>
      <w:rPr>
        <w:i w:val="0"/>
        <w:sz w:val="20"/>
      </w:rPr>
      <w:t xml:space="preserve"> </w:t>
    </w:r>
    <w:r>
      <w:rPr>
        <w:i w:val="0"/>
        <w:sz w:val="20"/>
      </w:rPr>
      <w:tab/>
      <w:t xml:space="preserve"> </w:t>
    </w:r>
  </w:p>
  <w:p w:rsidR="009F70B5" w:rsidRDefault="0000626D">
    <w:pPr>
      <w:spacing w:after="69" w:line="259" w:lineRule="auto"/>
      <w:ind w:left="0" w:right="436" w:firstLine="0"/>
      <w:jc w:val="left"/>
    </w:pPr>
    <w:r>
      <w:rPr>
        <w:i w:val="0"/>
        <w:sz w:val="20"/>
      </w:rPr>
      <w:t xml:space="preserve"> </w:t>
    </w:r>
  </w:p>
  <w:p w:rsidR="009F70B5" w:rsidRDefault="0000626D">
    <w:pPr>
      <w:spacing w:after="0" w:line="259" w:lineRule="auto"/>
      <w:ind w:left="647" w:right="436" w:firstLine="0"/>
      <w:jc w:val="left"/>
    </w:pPr>
    <w:r>
      <w:rPr>
        <w:rFonts w:ascii="Arial" w:eastAsia="Arial" w:hAnsi="Arial" w:cs="Arial"/>
        <w:i w:val="0"/>
        <w:sz w:val="18"/>
      </w:rPr>
      <w:t xml:space="preserve">MINISTERIO  </w:t>
    </w:r>
  </w:p>
  <w:p w:rsidR="009F70B5" w:rsidRDefault="0000626D">
    <w:pPr>
      <w:spacing w:after="0" w:line="259" w:lineRule="auto"/>
      <w:ind w:left="647" w:right="436" w:firstLine="0"/>
      <w:jc w:val="left"/>
    </w:pPr>
    <w:r>
      <w:rPr>
        <w:rFonts w:ascii="Arial" w:eastAsia="Arial" w:hAnsi="Arial" w:cs="Arial"/>
        <w:i w:val="0"/>
        <w:sz w:val="18"/>
      </w:rPr>
      <w:t xml:space="preserve">DE ASUNTOS EXTERIORES, UNIÓN EUROPEA </w:t>
    </w:r>
  </w:p>
  <w:p w:rsidR="009F70B5" w:rsidRDefault="0000626D">
    <w:pPr>
      <w:spacing w:after="0" w:line="259" w:lineRule="auto"/>
      <w:ind w:left="647" w:firstLine="0"/>
      <w:jc w:val="left"/>
    </w:pPr>
    <w:r>
      <w:rPr>
        <w:rFonts w:ascii="Arial" w:eastAsia="Arial" w:hAnsi="Arial" w:cs="Arial"/>
        <w:i w:val="0"/>
        <w:sz w:val="18"/>
      </w:rPr>
      <w:t>Y COOPERACIÓN</w:t>
    </w:r>
    <w:r>
      <w:rPr>
        <w:i w:val="0"/>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8134" w:tblpY="1266"/>
      <w:tblOverlap w:val="never"/>
      <w:tblW w:w="2414" w:type="dxa"/>
      <w:tblInd w:w="0" w:type="dxa"/>
      <w:tblCellMar>
        <w:left w:w="182" w:type="dxa"/>
        <w:right w:w="115" w:type="dxa"/>
      </w:tblCellMar>
      <w:tblLook w:val="04A0" w:firstRow="1" w:lastRow="0" w:firstColumn="1" w:lastColumn="0" w:noHBand="0" w:noVBand="1"/>
    </w:tblPr>
    <w:tblGrid>
      <w:gridCol w:w="2414"/>
    </w:tblGrid>
    <w:tr w:rsidR="009F70B5">
      <w:trPr>
        <w:trHeight w:val="764"/>
      </w:trPr>
      <w:tc>
        <w:tcPr>
          <w:tcW w:w="2414" w:type="dxa"/>
          <w:tcBorders>
            <w:top w:val="single" w:sz="6" w:space="0" w:color="000000"/>
            <w:left w:val="single" w:sz="6" w:space="0" w:color="000000"/>
            <w:bottom w:val="single" w:sz="6" w:space="0" w:color="000000"/>
            <w:right w:val="single" w:sz="6" w:space="0" w:color="000000"/>
          </w:tcBorders>
          <w:vAlign w:val="center"/>
        </w:tcPr>
        <w:p w:rsidR="009F70B5" w:rsidRDefault="0000626D">
          <w:pPr>
            <w:spacing w:after="0" w:line="259" w:lineRule="auto"/>
            <w:ind w:left="0" w:firstLine="0"/>
            <w:jc w:val="left"/>
          </w:pPr>
          <w:r>
            <w:rPr>
              <w:rFonts w:ascii="Arial" w:eastAsia="Arial" w:hAnsi="Arial" w:cs="Arial"/>
              <w:i w:val="0"/>
              <w:sz w:val="16"/>
            </w:rPr>
            <w:t>SECRETARÍA DE ESTADO PARA LA UNIÓN EUROPEA</w:t>
          </w:r>
          <w:r>
            <w:rPr>
              <w:i w:val="0"/>
              <w:sz w:val="20"/>
            </w:rPr>
            <w:t xml:space="preserve"> </w:t>
          </w:r>
        </w:p>
      </w:tc>
    </w:tr>
  </w:tbl>
  <w:p w:rsidR="009F70B5" w:rsidRDefault="0000626D">
    <w:pPr>
      <w:spacing w:after="0" w:line="236" w:lineRule="auto"/>
      <w:ind w:left="-1399" w:right="436" w:firstLine="0"/>
      <w:jc w:val="left"/>
    </w:pPr>
    <w:r>
      <w:rPr>
        <w:noProof/>
      </w:rPr>
      <w:drawing>
        <wp:anchor distT="0" distB="0" distL="114300" distR="114300" simplePos="0" relativeHeight="251660288" behindDoc="0" locked="0" layoutInCell="1" allowOverlap="0">
          <wp:simplePos x="0" y="0"/>
          <wp:positionH relativeFrom="page">
            <wp:posOffset>579933</wp:posOffset>
          </wp:positionH>
          <wp:positionV relativeFrom="page">
            <wp:posOffset>805295</wp:posOffset>
          </wp:positionV>
          <wp:extent cx="834029" cy="858649"/>
          <wp:effectExtent l="0" t="0" r="0" b="0"/>
          <wp:wrapSquare wrapText="bothSides"/>
          <wp:docPr id="14"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834029" cy="858649"/>
                  </a:xfrm>
                  <a:prstGeom prst="rect">
                    <a:avLst/>
                  </a:prstGeom>
                </pic:spPr>
              </pic:pic>
            </a:graphicData>
          </a:graphic>
        </wp:anchor>
      </w:drawing>
    </w:r>
    <w:r>
      <w:rPr>
        <w:i w:val="0"/>
        <w:sz w:val="16"/>
      </w:rPr>
      <w:t xml:space="preserve"> </w:t>
    </w:r>
    <w:r>
      <w:rPr>
        <w:i w:val="0"/>
        <w:sz w:val="20"/>
      </w:rPr>
      <w:t xml:space="preserve"> </w:t>
    </w:r>
    <w:r>
      <w:rPr>
        <w:i w:val="0"/>
        <w:sz w:val="20"/>
      </w:rPr>
      <w:tab/>
      <w:t xml:space="preserve"> </w:t>
    </w:r>
  </w:p>
  <w:p w:rsidR="009F70B5" w:rsidRDefault="0000626D">
    <w:pPr>
      <w:spacing w:after="69" w:line="259" w:lineRule="auto"/>
      <w:ind w:left="0" w:right="436" w:firstLine="0"/>
      <w:jc w:val="left"/>
    </w:pPr>
    <w:r>
      <w:rPr>
        <w:i w:val="0"/>
        <w:sz w:val="20"/>
      </w:rPr>
      <w:t xml:space="preserve"> </w:t>
    </w:r>
  </w:p>
  <w:p w:rsidR="009F70B5" w:rsidRDefault="0000626D">
    <w:pPr>
      <w:spacing w:after="0" w:line="259" w:lineRule="auto"/>
      <w:ind w:left="647" w:right="436" w:firstLine="0"/>
      <w:jc w:val="left"/>
    </w:pPr>
    <w:r>
      <w:rPr>
        <w:rFonts w:ascii="Arial" w:eastAsia="Arial" w:hAnsi="Arial" w:cs="Arial"/>
        <w:i w:val="0"/>
        <w:sz w:val="18"/>
      </w:rPr>
      <w:t xml:space="preserve">MINISTERIO  </w:t>
    </w:r>
  </w:p>
  <w:p w:rsidR="009F70B5" w:rsidRDefault="0000626D">
    <w:pPr>
      <w:spacing w:after="0" w:line="259" w:lineRule="auto"/>
      <w:ind w:left="647" w:right="436" w:firstLine="0"/>
      <w:jc w:val="left"/>
    </w:pPr>
    <w:r>
      <w:rPr>
        <w:rFonts w:ascii="Arial" w:eastAsia="Arial" w:hAnsi="Arial" w:cs="Arial"/>
        <w:i w:val="0"/>
        <w:sz w:val="18"/>
      </w:rPr>
      <w:t xml:space="preserve">DE ASUNTOS EXTERIORES, UNIÓN EUROPEA </w:t>
    </w:r>
  </w:p>
  <w:p w:rsidR="009F70B5" w:rsidRDefault="0000626D">
    <w:pPr>
      <w:spacing w:after="0" w:line="259" w:lineRule="auto"/>
      <w:ind w:left="647" w:firstLine="0"/>
      <w:jc w:val="left"/>
    </w:pPr>
    <w:r>
      <w:rPr>
        <w:rFonts w:ascii="Arial" w:eastAsia="Arial" w:hAnsi="Arial" w:cs="Arial"/>
        <w:i w:val="0"/>
        <w:sz w:val="18"/>
      </w:rPr>
      <w:t>Y COOPERACIÓN</w:t>
    </w:r>
    <w:r>
      <w:rPr>
        <w:i w:val="0"/>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0FFC"/>
    <w:multiLevelType w:val="hybridMultilevel"/>
    <w:tmpl w:val="DACECFDC"/>
    <w:lvl w:ilvl="0" w:tplc="A5EA7CC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C66432">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88243A">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30BA9C">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4E93EA">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8AFE9E">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902FC2">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666832">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66C5A4">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FE00287"/>
    <w:multiLevelType w:val="hybridMultilevel"/>
    <w:tmpl w:val="392CDDE2"/>
    <w:lvl w:ilvl="0" w:tplc="E08E3C1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2E537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EE367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9216F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AC5F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24ACC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A494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723E8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8A31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006195D"/>
    <w:multiLevelType w:val="hybridMultilevel"/>
    <w:tmpl w:val="6CFA2994"/>
    <w:lvl w:ilvl="0" w:tplc="649AC67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80E59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C299E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9E6A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CCCEE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4E001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28FE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AEE40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30A79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D8A267E"/>
    <w:multiLevelType w:val="hybridMultilevel"/>
    <w:tmpl w:val="F550A9BA"/>
    <w:lvl w:ilvl="0" w:tplc="D3504AB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6692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F047D3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7632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40E14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085A6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6ABF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EC415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B28C7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E1D1256"/>
    <w:multiLevelType w:val="hybridMultilevel"/>
    <w:tmpl w:val="2B4E971C"/>
    <w:lvl w:ilvl="0" w:tplc="BB0A1EE2">
      <w:start w:val="1"/>
      <w:numFmt w:val="bullet"/>
      <w:lvlText w:val="•"/>
      <w:lvlJc w:val="left"/>
      <w:pPr>
        <w:ind w:left="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943970">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3CF696">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10468E">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62E00A">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748E20">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204462">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0A88CA">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1C3376">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8022ADE"/>
    <w:multiLevelType w:val="multilevel"/>
    <w:tmpl w:val="84AE7FCE"/>
    <w:lvl w:ilvl="0">
      <w:start w:val="1"/>
      <w:numFmt w:val="upperRoman"/>
      <w:pStyle w:val="Ttulo1"/>
      <w:lvlText w:val="%1."/>
      <w:lvlJc w:val="left"/>
      <w:pPr>
        <w:ind w:left="0"/>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1">
      <w:start w:val="1"/>
      <w:numFmt w:val="decimal"/>
      <w:pStyle w:val="Ttulo2"/>
      <w:lvlText w:val="%1.%2"/>
      <w:lvlJc w:val="left"/>
      <w:pPr>
        <w:ind w:left="0"/>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single" w:color="000000"/>
        <w:bdr w:val="none" w:sz="0" w:space="0" w:color="auto"/>
        <w:shd w:val="clear" w:color="auto" w:fill="auto"/>
        <w:vertAlign w:val="baseline"/>
      </w:rPr>
    </w:lvl>
  </w:abstractNum>
  <w:abstractNum w:abstractNumId="6" w15:restartNumberingAfterBreak="0">
    <w:nsid w:val="5DC80876"/>
    <w:multiLevelType w:val="hybridMultilevel"/>
    <w:tmpl w:val="73481EDA"/>
    <w:lvl w:ilvl="0" w:tplc="FEE2A72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6693C4">
      <w:start w:val="1"/>
      <w:numFmt w:val="bullet"/>
      <w:lvlText w:val="o"/>
      <w:lvlJc w:val="left"/>
      <w:pPr>
        <w:ind w:left="14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467EDE">
      <w:start w:val="1"/>
      <w:numFmt w:val="bullet"/>
      <w:lvlText w:val="▪"/>
      <w:lvlJc w:val="left"/>
      <w:pPr>
        <w:ind w:left="21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227B32">
      <w:start w:val="1"/>
      <w:numFmt w:val="bullet"/>
      <w:lvlText w:val="•"/>
      <w:lvlJc w:val="left"/>
      <w:pPr>
        <w:ind w:left="2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CA7388">
      <w:start w:val="1"/>
      <w:numFmt w:val="bullet"/>
      <w:lvlText w:val="o"/>
      <w:lvlJc w:val="left"/>
      <w:pPr>
        <w:ind w:left="35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EE7BBC">
      <w:start w:val="1"/>
      <w:numFmt w:val="bullet"/>
      <w:lvlText w:val="▪"/>
      <w:lvlJc w:val="left"/>
      <w:pPr>
        <w:ind w:left="43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EA5C5A">
      <w:start w:val="1"/>
      <w:numFmt w:val="bullet"/>
      <w:lvlText w:val="•"/>
      <w:lvlJc w:val="left"/>
      <w:pPr>
        <w:ind w:left="5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20CF06">
      <w:start w:val="1"/>
      <w:numFmt w:val="bullet"/>
      <w:lvlText w:val="o"/>
      <w:lvlJc w:val="left"/>
      <w:pPr>
        <w:ind w:left="57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E42810">
      <w:start w:val="1"/>
      <w:numFmt w:val="bullet"/>
      <w:lvlText w:val="▪"/>
      <w:lvlJc w:val="left"/>
      <w:pPr>
        <w:ind w:left="64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F8B2986"/>
    <w:multiLevelType w:val="hybridMultilevel"/>
    <w:tmpl w:val="81B20A2C"/>
    <w:lvl w:ilvl="0" w:tplc="7D5A5058">
      <w:start w:val="1"/>
      <w:numFmt w:val="bullet"/>
      <w:lvlText w:val="•"/>
      <w:lvlJc w:val="left"/>
      <w:pPr>
        <w:ind w:left="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D257B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3EBB9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BE093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8A7A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7E9C5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F60A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2ED45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484F9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FF11952"/>
    <w:multiLevelType w:val="hybridMultilevel"/>
    <w:tmpl w:val="2A7AD5E0"/>
    <w:lvl w:ilvl="0" w:tplc="9B78F8F8">
      <w:start w:val="1"/>
      <w:numFmt w:val="bullet"/>
      <w:lvlText w:val="•"/>
      <w:lvlJc w:val="left"/>
      <w:pPr>
        <w:ind w:left="1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BC9666">
      <w:start w:val="1"/>
      <w:numFmt w:val="bullet"/>
      <w:lvlText w:val="o"/>
      <w:lvlJc w:val="left"/>
      <w:pPr>
        <w:ind w:left="17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C8C57A">
      <w:start w:val="1"/>
      <w:numFmt w:val="bullet"/>
      <w:lvlText w:val="▪"/>
      <w:lvlJc w:val="left"/>
      <w:pPr>
        <w:ind w:left="2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E8141A">
      <w:start w:val="1"/>
      <w:numFmt w:val="bullet"/>
      <w:lvlText w:val="•"/>
      <w:lvlJc w:val="left"/>
      <w:pPr>
        <w:ind w:left="3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001AD2">
      <w:start w:val="1"/>
      <w:numFmt w:val="bullet"/>
      <w:lvlText w:val="o"/>
      <w:lvlJc w:val="left"/>
      <w:pPr>
        <w:ind w:left="38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100716">
      <w:start w:val="1"/>
      <w:numFmt w:val="bullet"/>
      <w:lvlText w:val="▪"/>
      <w:lvlJc w:val="left"/>
      <w:pPr>
        <w:ind w:left="4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F24358">
      <w:start w:val="1"/>
      <w:numFmt w:val="bullet"/>
      <w:lvlText w:val="•"/>
      <w:lvlJc w:val="left"/>
      <w:pPr>
        <w:ind w:left="5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348052">
      <w:start w:val="1"/>
      <w:numFmt w:val="bullet"/>
      <w:lvlText w:val="o"/>
      <w:lvlJc w:val="left"/>
      <w:pPr>
        <w:ind w:left="60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D4F398">
      <w:start w:val="1"/>
      <w:numFmt w:val="bullet"/>
      <w:lvlText w:val="▪"/>
      <w:lvlJc w:val="left"/>
      <w:pPr>
        <w:ind w:left="6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B5"/>
    <w:rsid w:val="0000626D"/>
    <w:rsid w:val="00025666"/>
    <w:rsid w:val="00051C0F"/>
    <w:rsid w:val="000A1D51"/>
    <w:rsid w:val="000B0E53"/>
    <w:rsid w:val="00106492"/>
    <w:rsid w:val="0013000E"/>
    <w:rsid w:val="00241397"/>
    <w:rsid w:val="003069A9"/>
    <w:rsid w:val="00397C3A"/>
    <w:rsid w:val="003B4F1B"/>
    <w:rsid w:val="003D6184"/>
    <w:rsid w:val="005538BC"/>
    <w:rsid w:val="005E623C"/>
    <w:rsid w:val="007E75B3"/>
    <w:rsid w:val="009407AA"/>
    <w:rsid w:val="009E218C"/>
    <w:rsid w:val="009F64F7"/>
    <w:rsid w:val="009F70B5"/>
    <w:rsid w:val="00BA2814"/>
    <w:rsid w:val="00BB48CC"/>
    <w:rsid w:val="00C42350"/>
    <w:rsid w:val="00CB0811"/>
    <w:rsid w:val="00D76533"/>
    <w:rsid w:val="00E0404A"/>
    <w:rsid w:val="00E74195"/>
    <w:rsid w:val="00E8412E"/>
    <w:rsid w:val="00EC1DC8"/>
    <w:rsid w:val="00EF47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A1F71"/>
  <w15:docId w15:val="{EFCEEBDE-F42C-4780-AF5C-D1E748896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2" w:line="248" w:lineRule="auto"/>
      <w:ind w:left="370" w:hanging="10"/>
      <w:jc w:val="both"/>
    </w:pPr>
    <w:rPr>
      <w:rFonts w:ascii="Times New Roman" w:eastAsia="Times New Roman" w:hAnsi="Times New Roman" w:cs="Times New Roman"/>
      <w:i/>
      <w:color w:val="000000"/>
    </w:rPr>
  </w:style>
  <w:style w:type="paragraph" w:styleId="Ttulo1">
    <w:name w:val="heading 1"/>
    <w:next w:val="Normal"/>
    <w:link w:val="Ttulo1Car"/>
    <w:uiPriority w:val="9"/>
    <w:unhideWhenUsed/>
    <w:qFormat/>
    <w:pPr>
      <w:keepNext/>
      <w:keepLines/>
      <w:numPr>
        <w:numId w:val="9"/>
      </w:numPr>
      <w:spacing w:after="96"/>
      <w:ind w:left="10" w:hanging="10"/>
      <w:outlineLvl w:val="0"/>
    </w:pPr>
    <w:rPr>
      <w:rFonts w:ascii="Times New Roman" w:eastAsia="Times New Roman" w:hAnsi="Times New Roman" w:cs="Times New Roman"/>
      <w:b/>
      <w:color w:val="000000"/>
      <w:u w:val="single" w:color="000000"/>
    </w:rPr>
  </w:style>
  <w:style w:type="paragraph" w:styleId="Ttulo2">
    <w:name w:val="heading 2"/>
    <w:next w:val="Normal"/>
    <w:link w:val="Ttulo2Car"/>
    <w:uiPriority w:val="9"/>
    <w:unhideWhenUsed/>
    <w:qFormat/>
    <w:pPr>
      <w:keepNext/>
      <w:keepLines/>
      <w:numPr>
        <w:ilvl w:val="1"/>
        <w:numId w:val="9"/>
      </w:numPr>
      <w:spacing w:after="96"/>
      <w:ind w:left="10" w:hanging="10"/>
      <w:outlineLvl w:val="1"/>
    </w:pPr>
    <w:rPr>
      <w:rFonts w:ascii="Times New Roman" w:eastAsia="Times New Roman" w:hAnsi="Times New Roman" w:cs="Times New Roman"/>
      <w:b/>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2"/>
      <w:u w:val="single" w:color="000000"/>
    </w:rPr>
  </w:style>
  <w:style w:type="character" w:customStyle="1" w:styleId="Ttulo2Car">
    <w:name w:val="Título 2 Car"/>
    <w:link w:val="Ttulo2"/>
    <w:rPr>
      <w:rFonts w:ascii="Times New Roman" w:eastAsia="Times New Roman" w:hAnsi="Times New Roman" w:cs="Times New Roman"/>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BB48CC"/>
    <w:pPr>
      <w:ind w:left="720"/>
      <w:contextualSpacing/>
    </w:pPr>
  </w:style>
  <w:style w:type="paragraph" w:styleId="Textodeglobo">
    <w:name w:val="Balloon Text"/>
    <w:basedOn w:val="Normal"/>
    <w:link w:val="TextodegloboCar"/>
    <w:uiPriority w:val="99"/>
    <w:semiHidden/>
    <w:unhideWhenUsed/>
    <w:rsid w:val="00397C3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7C3A"/>
    <w:rPr>
      <w:rFonts w:ascii="Segoe UI" w:eastAsia="Times New Roman" w:hAnsi="Segoe UI" w:cs="Segoe UI"/>
      <w: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254900">
      <w:bodyDiv w:val="1"/>
      <w:marLeft w:val="0"/>
      <w:marRight w:val="0"/>
      <w:marTop w:val="0"/>
      <w:marBottom w:val="0"/>
      <w:divBdr>
        <w:top w:val="none" w:sz="0" w:space="0" w:color="auto"/>
        <w:left w:val="none" w:sz="0" w:space="0" w:color="auto"/>
        <w:bottom w:val="none" w:sz="0" w:space="0" w:color="auto"/>
        <w:right w:val="none" w:sz="0" w:space="0" w:color="auto"/>
      </w:divBdr>
    </w:div>
    <w:div w:id="1000277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CF14FAA7A93AF458818B510C06ABECE" ma:contentTypeVersion="2" ma:contentTypeDescription="Crear nuevo documento." ma:contentTypeScope="" ma:versionID="6ed7de793a536bdd9dc19eb33fe3165d">
  <xsd:schema xmlns:xsd="http://www.w3.org/2001/XMLSchema" xmlns:xs="http://www.w3.org/2001/XMLSchema" xmlns:p="http://schemas.microsoft.com/office/2006/metadata/properties" xmlns:ns1="http://schemas.microsoft.com/sharepoint/v3" xmlns:ns2="8277cffe-4b60-4ee3-9ac7-01c878458465" targetNamespace="http://schemas.microsoft.com/office/2006/metadata/properties" ma:root="true" ma:fieldsID="4a6eb2281dd2bdd2dc900a540378fc08" ns1:_="" ns2:_="">
    <xsd:import namespace="http://schemas.microsoft.com/sharepoint/v3"/>
    <xsd:import namespace="8277cffe-4b60-4ee3-9ac7-01c87845846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77cffe-4b60-4ee3-9ac7-01c87845846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CECAB-49BE-4C25-B5B0-DA6B20618BEE}"/>
</file>

<file path=customXml/itemProps2.xml><?xml version="1.0" encoding="utf-8"?>
<ds:datastoreItem xmlns:ds="http://schemas.openxmlformats.org/officeDocument/2006/customXml" ds:itemID="{197A5B22-AAFF-40B4-92F3-707E6E4FB7C3}"/>
</file>

<file path=customXml/itemProps3.xml><?xml version="1.0" encoding="utf-8"?>
<ds:datastoreItem xmlns:ds="http://schemas.openxmlformats.org/officeDocument/2006/customXml" ds:itemID="{A2188B95-3A25-44BA-89D2-06E7B0D66373}"/>
</file>

<file path=docProps/app.xml><?xml version="1.0" encoding="utf-8"?>
<Properties xmlns="http://schemas.openxmlformats.org/officeDocument/2006/extended-properties" xmlns:vt="http://schemas.openxmlformats.org/officeDocument/2006/docPropsVTypes">
  <Template>Normal</Template>
  <TotalTime>0</TotalTime>
  <Pages>4</Pages>
  <Words>901</Words>
  <Characters>4956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CURSO SOBRE LA UNIÓN EUROPEA</vt:lpstr>
    </vt:vector>
  </TitlesOfParts>
  <Company>MAEC</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CURSO SOBRE LA UNIÓN EUROPEA</dc:title>
  <dc:subject/>
  <dc:creator>escuela.cursosue</dc:creator>
  <cp:keywords/>
  <cp:lastModifiedBy>Barnuevo Artiñano, Cecilia</cp:lastModifiedBy>
  <cp:revision>3</cp:revision>
  <cp:lastPrinted>2024-11-08T09:18:00Z</cp:lastPrinted>
  <dcterms:created xsi:type="dcterms:W3CDTF">2024-11-14T13:07:00Z</dcterms:created>
  <dcterms:modified xsi:type="dcterms:W3CDTF">2024-11-14T13:13:00Z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0x0101001CF14FAA7A93AF458818B510C06ABECE</vt:lpwstr>
  </property>
</Properties>
</file>